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B31C" w14:textId="0302A4D9" w:rsidR="00FE32EA" w:rsidRDefault="00FE32EA" w:rsidP="006E4F62">
      <w:pPr>
        <w:spacing w:after="0"/>
        <w:jc w:val="center"/>
        <w:rPr>
          <w:rFonts w:cstheme="minorHAnsi"/>
          <w:b/>
          <w:bCs/>
          <w:sz w:val="24"/>
          <w:szCs w:val="24"/>
        </w:rPr>
      </w:pPr>
    </w:p>
    <w:p w14:paraId="1F7244FC" w14:textId="77777777" w:rsidR="00E536C4" w:rsidRPr="004B3A39" w:rsidRDefault="00E536C4" w:rsidP="006E4F62">
      <w:pPr>
        <w:spacing w:after="0"/>
        <w:jc w:val="center"/>
        <w:rPr>
          <w:rFonts w:cstheme="minorHAnsi"/>
          <w:b/>
          <w:bCs/>
          <w:sz w:val="24"/>
          <w:szCs w:val="24"/>
        </w:rPr>
      </w:pPr>
    </w:p>
    <w:p w14:paraId="2940C703" w14:textId="77777777" w:rsidR="00FE32EA" w:rsidRPr="004B3A39" w:rsidRDefault="00FE32EA" w:rsidP="006E4F62">
      <w:pPr>
        <w:spacing w:after="0"/>
        <w:jc w:val="center"/>
        <w:rPr>
          <w:rFonts w:cstheme="minorHAnsi"/>
          <w:b/>
          <w:bCs/>
          <w:sz w:val="24"/>
          <w:szCs w:val="24"/>
        </w:rPr>
      </w:pPr>
    </w:p>
    <w:p w14:paraId="17CC7A5E" w14:textId="77777777" w:rsidR="00FE32EA" w:rsidRPr="004B3A39" w:rsidRDefault="00FE32EA" w:rsidP="006E4F62">
      <w:pPr>
        <w:spacing w:after="0"/>
        <w:jc w:val="center"/>
        <w:rPr>
          <w:rFonts w:cstheme="minorHAnsi"/>
          <w:b/>
          <w:bCs/>
          <w:sz w:val="24"/>
          <w:szCs w:val="24"/>
        </w:rPr>
      </w:pPr>
    </w:p>
    <w:p w14:paraId="1D334E2F" w14:textId="77777777" w:rsidR="00FE32EA" w:rsidRPr="004B3A39" w:rsidRDefault="00FE32EA" w:rsidP="006E4F62">
      <w:pPr>
        <w:spacing w:after="0"/>
        <w:jc w:val="center"/>
        <w:rPr>
          <w:rFonts w:cstheme="minorHAnsi"/>
          <w:b/>
          <w:bCs/>
          <w:sz w:val="24"/>
          <w:szCs w:val="24"/>
        </w:rPr>
      </w:pPr>
    </w:p>
    <w:p w14:paraId="5EF5DBAE" w14:textId="77777777" w:rsidR="00FE32EA" w:rsidRPr="004B3A39" w:rsidRDefault="00FE32EA" w:rsidP="006E4F62">
      <w:pPr>
        <w:spacing w:after="0"/>
        <w:jc w:val="center"/>
        <w:rPr>
          <w:rFonts w:cstheme="minorHAnsi"/>
          <w:b/>
          <w:bCs/>
          <w:sz w:val="24"/>
          <w:szCs w:val="24"/>
        </w:rPr>
      </w:pPr>
    </w:p>
    <w:p w14:paraId="35E232DA" w14:textId="77777777" w:rsidR="00FE32EA" w:rsidRPr="004B3A39" w:rsidRDefault="00FE32EA" w:rsidP="006E4F62">
      <w:pPr>
        <w:spacing w:after="0"/>
        <w:jc w:val="center"/>
        <w:rPr>
          <w:rFonts w:cstheme="minorHAnsi"/>
          <w:b/>
          <w:bCs/>
          <w:sz w:val="24"/>
          <w:szCs w:val="24"/>
        </w:rPr>
      </w:pPr>
    </w:p>
    <w:p w14:paraId="5803DC00" w14:textId="77777777" w:rsidR="00FE32EA" w:rsidRPr="004B3A39" w:rsidRDefault="00FE32EA" w:rsidP="006E4F62">
      <w:pPr>
        <w:spacing w:after="0"/>
        <w:jc w:val="center"/>
        <w:rPr>
          <w:rFonts w:cstheme="minorHAnsi"/>
          <w:b/>
          <w:bCs/>
          <w:sz w:val="24"/>
          <w:szCs w:val="24"/>
        </w:rPr>
      </w:pPr>
    </w:p>
    <w:p w14:paraId="71AC61D1" w14:textId="77777777" w:rsidR="00FE32EA" w:rsidRPr="004B3A39" w:rsidRDefault="00FE32EA" w:rsidP="006E4F62">
      <w:pPr>
        <w:spacing w:after="0"/>
        <w:jc w:val="center"/>
        <w:rPr>
          <w:rFonts w:cstheme="minorHAnsi"/>
          <w:b/>
          <w:bCs/>
          <w:sz w:val="24"/>
          <w:szCs w:val="24"/>
        </w:rPr>
      </w:pPr>
    </w:p>
    <w:p w14:paraId="6D058815" w14:textId="77777777" w:rsidR="00FE32EA" w:rsidRPr="00670DB8" w:rsidRDefault="00FE32EA" w:rsidP="001D2F63">
      <w:pPr>
        <w:spacing w:after="0" w:line="360" w:lineRule="auto"/>
        <w:jc w:val="center"/>
        <w:rPr>
          <w:rFonts w:cs="Arial"/>
          <w:b/>
          <w:bCs/>
          <w:sz w:val="32"/>
          <w:szCs w:val="32"/>
        </w:rPr>
      </w:pPr>
    </w:p>
    <w:p w14:paraId="10173089" w14:textId="77777777" w:rsidR="000A5626" w:rsidRPr="00670DB8" w:rsidRDefault="000A5626" w:rsidP="006E4F62">
      <w:pPr>
        <w:spacing w:after="0"/>
        <w:jc w:val="center"/>
        <w:rPr>
          <w:rFonts w:cs="Arial"/>
          <w:b/>
          <w:bCs/>
          <w:sz w:val="32"/>
          <w:szCs w:val="32"/>
        </w:rPr>
      </w:pPr>
    </w:p>
    <w:p w14:paraId="224B84D6" w14:textId="794BFF15" w:rsidR="00FE32EA" w:rsidRPr="00670DB8" w:rsidRDefault="00B0294C" w:rsidP="006E4F62">
      <w:pPr>
        <w:spacing w:after="0"/>
        <w:jc w:val="center"/>
        <w:rPr>
          <w:rFonts w:cs="Arial"/>
          <w:b/>
          <w:bCs/>
          <w:color w:val="4472C4" w:themeColor="accent1"/>
          <w:sz w:val="32"/>
          <w:szCs w:val="32"/>
        </w:rPr>
      </w:pPr>
      <w:r w:rsidRPr="00670DB8">
        <w:rPr>
          <w:rFonts w:cs="Arial"/>
          <w:b/>
          <w:bCs/>
          <w:color w:val="4472C4" w:themeColor="accent1"/>
          <w:sz w:val="32"/>
          <w:szCs w:val="32"/>
        </w:rPr>
        <w:t xml:space="preserve">UTEMELJITEV SPREMEMBE PROGRAMA EVROPSKE KOHEZIJSKE POLITIKE 2021–2027 </w:t>
      </w:r>
    </w:p>
    <w:p w14:paraId="4E4911FB" w14:textId="77777777" w:rsidR="00FE32EA" w:rsidRPr="00670DB8" w:rsidRDefault="00FE32EA" w:rsidP="006E4F62">
      <w:pPr>
        <w:spacing w:after="0"/>
        <w:jc w:val="center"/>
        <w:rPr>
          <w:rFonts w:cs="Arial"/>
          <w:b/>
          <w:bCs/>
          <w:sz w:val="32"/>
          <w:szCs w:val="32"/>
        </w:rPr>
      </w:pPr>
    </w:p>
    <w:p w14:paraId="637A16A3" w14:textId="77777777" w:rsidR="00FE32EA" w:rsidRPr="004B3A39" w:rsidRDefault="00FE32EA" w:rsidP="006E4F62">
      <w:pPr>
        <w:spacing w:after="0"/>
        <w:jc w:val="center"/>
        <w:rPr>
          <w:rFonts w:cstheme="minorHAnsi"/>
          <w:b/>
          <w:bCs/>
          <w:sz w:val="32"/>
          <w:szCs w:val="32"/>
        </w:rPr>
      </w:pPr>
    </w:p>
    <w:p w14:paraId="28DDC902" w14:textId="77777777" w:rsidR="00FE32EA" w:rsidRPr="004B3A39" w:rsidRDefault="00FE32EA" w:rsidP="006E4F62">
      <w:pPr>
        <w:spacing w:after="0"/>
        <w:jc w:val="center"/>
        <w:rPr>
          <w:rFonts w:cstheme="minorHAnsi"/>
          <w:b/>
          <w:bCs/>
          <w:sz w:val="32"/>
          <w:szCs w:val="32"/>
        </w:rPr>
      </w:pPr>
    </w:p>
    <w:p w14:paraId="29B3F247" w14:textId="77777777" w:rsidR="00FE32EA" w:rsidRPr="004B3A39" w:rsidRDefault="00FE32EA" w:rsidP="006E4F62">
      <w:pPr>
        <w:spacing w:after="0"/>
        <w:jc w:val="center"/>
        <w:rPr>
          <w:rFonts w:cstheme="minorHAnsi"/>
          <w:b/>
          <w:bCs/>
          <w:sz w:val="32"/>
          <w:szCs w:val="32"/>
        </w:rPr>
      </w:pPr>
    </w:p>
    <w:p w14:paraId="11491067" w14:textId="77777777" w:rsidR="00FE32EA" w:rsidRPr="004B3A39" w:rsidRDefault="00FE32EA" w:rsidP="006E4F62">
      <w:pPr>
        <w:spacing w:after="0"/>
        <w:jc w:val="center"/>
        <w:rPr>
          <w:rFonts w:cstheme="minorHAnsi"/>
          <w:b/>
          <w:bCs/>
          <w:sz w:val="32"/>
          <w:szCs w:val="32"/>
        </w:rPr>
      </w:pPr>
    </w:p>
    <w:p w14:paraId="1627FB47" w14:textId="77777777" w:rsidR="00FE32EA" w:rsidRPr="004B3A39" w:rsidRDefault="00FE32EA" w:rsidP="006E4F62">
      <w:pPr>
        <w:spacing w:after="0"/>
        <w:jc w:val="center"/>
        <w:rPr>
          <w:rFonts w:cstheme="minorHAnsi"/>
          <w:b/>
          <w:bCs/>
          <w:sz w:val="32"/>
          <w:szCs w:val="32"/>
        </w:rPr>
      </w:pPr>
    </w:p>
    <w:p w14:paraId="1A5C7DA7" w14:textId="77777777" w:rsidR="00FE32EA" w:rsidRPr="004B3A39" w:rsidRDefault="00FE32EA" w:rsidP="006E4F62">
      <w:pPr>
        <w:spacing w:after="0"/>
        <w:jc w:val="center"/>
        <w:rPr>
          <w:rFonts w:cstheme="minorHAnsi"/>
          <w:b/>
          <w:bCs/>
          <w:sz w:val="32"/>
          <w:szCs w:val="32"/>
        </w:rPr>
      </w:pPr>
    </w:p>
    <w:p w14:paraId="50248A49" w14:textId="77777777" w:rsidR="00FE32EA" w:rsidRPr="004B3A39" w:rsidRDefault="00FE32EA" w:rsidP="006E4F62">
      <w:pPr>
        <w:spacing w:after="0"/>
        <w:jc w:val="center"/>
        <w:rPr>
          <w:rFonts w:cstheme="minorHAnsi"/>
          <w:b/>
          <w:bCs/>
          <w:sz w:val="32"/>
          <w:szCs w:val="32"/>
        </w:rPr>
      </w:pPr>
    </w:p>
    <w:p w14:paraId="564AA2BB" w14:textId="77777777" w:rsidR="00FE32EA" w:rsidRPr="004B3A39" w:rsidRDefault="00FE32EA" w:rsidP="006E4F62">
      <w:pPr>
        <w:spacing w:after="0"/>
        <w:jc w:val="center"/>
        <w:rPr>
          <w:rFonts w:cstheme="minorHAnsi"/>
          <w:b/>
          <w:bCs/>
          <w:sz w:val="32"/>
          <w:szCs w:val="32"/>
        </w:rPr>
      </w:pPr>
    </w:p>
    <w:p w14:paraId="46168726" w14:textId="77777777" w:rsidR="00FE32EA" w:rsidRPr="004B3A39" w:rsidRDefault="00FE32EA" w:rsidP="006E4F62">
      <w:pPr>
        <w:spacing w:after="0"/>
        <w:jc w:val="center"/>
        <w:rPr>
          <w:rFonts w:cstheme="minorHAnsi"/>
          <w:b/>
          <w:bCs/>
          <w:sz w:val="32"/>
          <w:szCs w:val="32"/>
        </w:rPr>
      </w:pPr>
    </w:p>
    <w:p w14:paraId="1343D09A" w14:textId="77777777" w:rsidR="00FE32EA" w:rsidRPr="004B3A39" w:rsidRDefault="00FE32EA" w:rsidP="006E4F62">
      <w:pPr>
        <w:spacing w:after="0"/>
        <w:jc w:val="center"/>
        <w:rPr>
          <w:rFonts w:cstheme="minorHAnsi"/>
          <w:b/>
          <w:bCs/>
          <w:sz w:val="32"/>
          <w:szCs w:val="32"/>
        </w:rPr>
      </w:pPr>
    </w:p>
    <w:p w14:paraId="263E29E0" w14:textId="77777777" w:rsidR="00FE32EA" w:rsidRPr="004B3A39" w:rsidRDefault="00FE32EA" w:rsidP="006E4F62">
      <w:pPr>
        <w:spacing w:after="0"/>
        <w:jc w:val="center"/>
        <w:rPr>
          <w:rFonts w:cstheme="minorHAnsi"/>
          <w:b/>
          <w:bCs/>
          <w:sz w:val="32"/>
          <w:szCs w:val="32"/>
        </w:rPr>
      </w:pPr>
    </w:p>
    <w:p w14:paraId="5E8B7ACF" w14:textId="77777777" w:rsidR="00FE32EA" w:rsidRPr="004B3A39" w:rsidRDefault="00FE32EA" w:rsidP="006E4F62">
      <w:pPr>
        <w:spacing w:after="0"/>
        <w:jc w:val="center"/>
        <w:rPr>
          <w:rFonts w:cstheme="minorHAnsi"/>
          <w:b/>
          <w:bCs/>
          <w:sz w:val="32"/>
          <w:szCs w:val="32"/>
        </w:rPr>
      </w:pPr>
    </w:p>
    <w:p w14:paraId="3AD1FA18" w14:textId="77777777" w:rsidR="00FE32EA" w:rsidRPr="004B3A39" w:rsidRDefault="00FE32EA" w:rsidP="006E4F62">
      <w:pPr>
        <w:spacing w:after="0"/>
        <w:jc w:val="center"/>
        <w:rPr>
          <w:rFonts w:cstheme="minorHAnsi"/>
          <w:b/>
          <w:bCs/>
          <w:sz w:val="32"/>
          <w:szCs w:val="32"/>
        </w:rPr>
      </w:pPr>
    </w:p>
    <w:p w14:paraId="202559EB" w14:textId="77777777" w:rsidR="002048B8" w:rsidRPr="00E364D2" w:rsidRDefault="002048B8" w:rsidP="00FE32EA">
      <w:pPr>
        <w:spacing w:after="0"/>
        <w:rPr>
          <w:rFonts w:cstheme="minorHAnsi"/>
          <w:b/>
          <w:bCs/>
        </w:rPr>
        <w:sectPr w:rsidR="002048B8" w:rsidRPr="00E364D2" w:rsidSect="00596690">
          <w:headerReference w:type="default" r:id="rId8"/>
          <w:footerReference w:type="default" r:id="rId9"/>
          <w:headerReference w:type="first" r:id="rId10"/>
          <w:pgSz w:w="11906" w:h="16838" w:code="9"/>
          <w:pgMar w:top="1418" w:right="1418" w:bottom="1418" w:left="1418" w:header="709" w:footer="709" w:gutter="0"/>
          <w:cols w:space="708"/>
          <w:titlePg/>
          <w:docGrid w:linePitch="360"/>
        </w:sectPr>
      </w:pPr>
    </w:p>
    <w:sdt>
      <w:sdtPr>
        <w:rPr>
          <w:rFonts w:asciiTheme="minorHAnsi" w:eastAsiaTheme="minorEastAsia" w:hAnsiTheme="minorHAnsi" w:cstheme="minorBidi"/>
          <w:color w:val="auto"/>
          <w:kern w:val="2"/>
          <w:sz w:val="22"/>
          <w:szCs w:val="22"/>
          <w:lang w:eastAsia="en-US"/>
          <w14:ligatures w14:val="standardContextual"/>
        </w:rPr>
        <w:id w:val="958153707"/>
        <w:docPartObj>
          <w:docPartGallery w:val="Table of Contents"/>
          <w:docPartUnique/>
        </w:docPartObj>
      </w:sdtPr>
      <w:sdtEndPr>
        <w:rPr>
          <w:b/>
          <w:bCs/>
          <w:sz w:val="20"/>
          <w:szCs w:val="20"/>
        </w:rPr>
      </w:sdtEndPr>
      <w:sdtContent>
        <w:p w14:paraId="1FEC0D68" w14:textId="645D7C89" w:rsidR="002048B8" w:rsidRPr="001A2407" w:rsidRDefault="00164689" w:rsidP="00001AA8">
          <w:pPr>
            <w:pStyle w:val="NaslovTOC"/>
            <w:rPr>
              <w:rFonts w:cs="Arial"/>
              <w:sz w:val="24"/>
              <w:szCs w:val="24"/>
            </w:rPr>
          </w:pPr>
          <w:r w:rsidRPr="001A2407">
            <w:rPr>
              <w:rFonts w:cs="Arial"/>
              <w:sz w:val="24"/>
              <w:szCs w:val="24"/>
            </w:rPr>
            <w:t>KAZALO VSEBINE</w:t>
          </w:r>
        </w:p>
        <w:p w14:paraId="43BA2359" w14:textId="703ED579" w:rsidR="00836F37" w:rsidRDefault="002048B8">
          <w:pPr>
            <w:pStyle w:val="Kazalovsebine1"/>
            <w:rPr>
              <w:rFonts w:asciiTheme="minorHAnsi" w:eastAsiaTheme="minorEastAsia" w:hAnsiTheme="minorHAnsi"/>
              <w:noProof/>
              <w:sz w:val="24"/>
              <w:szCs w:val="24"/>
              <w:lang w:eastAsia="sl-SI"/>
            </w:rPr>
          </w:pPr>
          <w:r w:rsidRPr="004B3A39">
            <w:rPr>
              <w:rFonts w:cstheme="minorHAnsi"/>
            </w:rPr>
            <w:fldChar w:fldCharType="begin"/>
          </w:r>
          <w:r w:rsidRPr="004B3A39">
            <w:rPr>
              <w:rFonts w:cstheme="minorHAnsi"/>
            </w:rPr>
            <w:instrText xml:space="preserve"> TOC \o "1-3" \h \z \u </w:instrText>
          </w:r>
          <w:r w:rsidRPr="004B3A39">
            <w:rPr>
              <w:rFonts w:cstheme="minorHAnsi"/>
            </w:rPr>
            <w:fldChar w:fldCharType="separate"/>
          </w:r>
          <w:hyperlink w:anchor="_Toc191383836" w:history="1">
            <w:r w:rsidR="00836F37" w:rsidRPr="00966F6B">
              <w:rPr>
                <w:rStyle w:val="Hiperpovezava"/>
                <w:noProof/>
              </w:rPr>
              <w:t>1</w:t>
            </w:r>
            <w:r w:rsidR="00836F37">
              <w:rPr>
                <w:rFonts w:asciiTheme="minorHAnsi" w:eastAsiaTheme="minorEastAsia" w:hAnsiTheme="minorHAnsi"/>
                <w:noProof/>
                <w:sz w:val="24"/>
                <w:szCs w:val="24"/>
                <w:lang w:eastAsia="sl-SI"/>
              </w:rPr>
              <w:tab/>
            </w:r>
            <w:r w:rsidR="00836F37" w:rsidRPr="00966F6B">
              <w:rPr>
                <w:rStyle w:val="Hiperpovezava"/>
                <w:noProof/>
              </w:rPr>
              <w:t>UVOD</w:t>
            </w:r>
            <w:r w:rsidR="00836F37">
              <w:rPr>
                <w:noProof/>
                <w:webHidden/>
              </w:rPr>
              <w:tab/>
            </w:r>
            <w:r w:rsidR="00836F37">
              <w:rPr>
                <w:noProof/>
                <w:webHidden/>
              </w:rPr>
              <w:fldChar w:fldCharType="begin"/>
            </w:r>
            <w:r w:rsidR="00836F37">
              <w:rPr>
                <w:noProof/>
                <w:webHidden/>
              </w:rPr>
              <w:instrText xml:space="preserve"> PAGEREF _Toc191383836 \h </w:instrText>
            </w:r>
            <w:r w:rsidR="00836F37">
              <w:rPr>
                <w:noProof/>
                <w:webHidden/>
              </w:rPr>
            </w:r>
            <w:r w:rsidR="00836F37">
              <w:rPr>
                <w:noProof/>
                <w:webHidden/>
              </w:rPr>
              <w:fldChar w:fldCharType="separate"/>
            </w:r>
            <w:r w:rsidR="000D68B5">
              <w:rPr>
                <w:noProof/>
                <w:webHidden/>
              </w:rPr>
              <w:t>6</w:t>
            </w:r>
            <w:r w:rsidR="00836F37">
              <w:rPr>
                <w:noProof/>
                <w:webHidden/>
              </w:rPr>
              <w:fldChar w:fldCharType="end"/>
            </w:r>
          </w:hyperlink>
        </w:p>
        <w:p w14:paraId="56EAF3AF" w14:textId="15B818B9" w:rsidR="00836F37" w:rsidRDefault="00BF3635">
          <w:pPr>
            <w:pStyle w:val="Kazalovsebine1"/>
            <w:rPr>
              <w:rFonts w:asciiTheme="minorHAnsi" w:eastAsiaTheme="minorEastAsia" w:hAnsiTheme="minorHAnsi"/>
              <w:noProof/>
              <w:sz w:val="24"/>
              <w:szCs w:val="24"/>
              <w:lang w:eastAsia="sl-SI"/>
            </w:rPr>
          </w:pPr>
          <w:hyperlink w:anchor="_Toc191383837" w:history="1">
            <w:r w:rsidR="00836F37" w:rsidRPr="00966F6B">
              <w:rPr>
                <w:rStyle w:val="Hiperpovezava"/>
                <w:rFonts w:cs="Arial"/>
                <w:noProof/>
              </w:rPr>
              <w:t>2</w:t>
            </w:r>
            <w:r w:rsidR="00836F37">
              <w:rPr>
                <w:rFonts w:asciiTheme="minorHAnsi" w:eastAsiaTheme="minorEastAsia" w:hAnsiTheme="minorHAnsi"/>
                <w:noProof/>
                <w:sz w:val="24"/>
                <w:szCs w:val="24"/>
                <w:lang w:eastAsia="sl-SI"/>
              </w:rPr>
              <w:tab/>
            </w:r>
            <w:r w:rsidR="00836F37" w:rsidRPr="00966F6B">
              <w:rPr>
                <w:rStyle w:val="Hiperpovezava"/>
                <w:rFonts w:cs="Arial"/>
                <w:noProof/>
              </w:rPr>
              <w:t>STANJE</w:t>
            </w:r>
            <w:r w:rsidR="00836F37">
              <w:rPr>
                <w:noProof/>
                <w:webHidden/>
              </w:rPr>
              <w:tab/>
            </w:r>
            <w:r w:rsidR="00836F37">
              <w:rPr>
                <w:noProof/>
                <w:webHidden/>
              </w:rPr>
              <w:fldChar w:fldCharType="begin"/>
            </w:r>
            <w:r w:rsidR="00836F37">
              <w:rPr>
                <w:noProof/>
                <w:webHidden/>
              </w:rPr>
              <w:instrText xml:space="preserve"> PAGEREF _Toc191383837 \h </w:instrText>
            </w:r>
            <w:r w:rsidR="00836F37">
              <w:rPr>
                <w:noProof/>
                <w:webHidden/>
              </w:rPr>
            </w:r>
            <w:r w:rsidR="00836F37">
              <w:rPr>
                <w:noProof/>
                <w:webHidden/>
              </w:rPr>
              <w:fldChar w:fldCharType="separate"/>
            </w:r>
            <w:r w:rsidR="000D68B5">
              <w:rPr>
                <w:noProof/>
                <w:webHidden/>
              </w:rPr>
              <w:t>7</w:t>
            </w:r>
            <w:r w:rsidR="00836F37">
              <w:rPr>
                <w:noProof/>
                <w:webHidden/>
              </w:rPr>
              <w:fldChar w:fldCharType="end"/>
            </w:r>
          </w:hyperlink>
        </w:p>
        <w:p w14:paraId="0E935F10" w14:textId="1E303335" w:rsidR="00836F37" w:rsidRDefault="00BF3635">
          <w:pPr>
            <w:pStyle w:val="Kazalovsebine2"/>
            <w:rPr>
              <w:rFonts w:asciiTheme="minorHAnsi" w:eastAsiaTheme="minorEastAsia" w:hAnsiTheme="minorHAnsi"/>
              <w:noProof/>
              <w:sz w:val="24"/>
              <w:szCs w:val="24"/>
              <w:lang w:eastAsia="sl-SI"/>
            </w:rPr>
          </w:pPr>
          <w:hyperlink w:anchor="_Toc191383838" w:history="1">
            <w:r w:rsidR="00836F37" w:rsidRPr="00966F6B">
              <w:rPr>
                <w:rStyle w:val="Hiperpovezava"/>
                <w:rFonts w:cs="Arial"/>
                <w:noProof/>
              </w:rPr>
              <w:t>2.1</w:t>
            </w:r>
            <w:r w:rsidR="00836F37">
              <w:rPr>
                <w:rFonts w:asciiTheme="minorHAnsi" w:eastAsiaTheme="minorEastAsia" w:hAnsiTheme="minorHAnsi"/>
                <w:noProof/>
                <w:sz w:val="24"/>
                <w:szCs w:val="24"/>
                <w:lang w:eastAsia="sl-SI"/>
              </w:rPr>
              <w:tab/>
            </w:r>
            <w:r w:rsidR="00836F37" w:rsidRPr="00966F6B">
              <w:rPr>
                <w:rStyle w:val="Hiperpovezava"/>
                <w:rFonts w:cs="Arial"/>
                <w:noProof/>
              </w:rPr>
              <w:t>Prikaz stanja koriščenja po resorjih (tabela)</w:t>
            </w:r>
            <w:r w:rsidR="00836F37">
              <w:rPr>
                <w:noProof/>
                <w:webHidden/>
              </w:rPr>
              <w:tab/>
            </w:r>
            <w:r w:rsidR="00836F37">
              <w:rPr>
                <w:noProof/>
                <w:webHidden/>
              </w:rPr>
              <w:fldChar w:fldCharType="begin"/>
            </w:r>
            <w:r w:rsidR="00836F37">
              <w:rPr>
                <w:noProof/>
                <w:webHidden/>
              </w:rPr>
              <w:instrText xml:space="preserve"> PAGEREF _Toc191383838 \h </w:instrText>
            </w:r>
            <w:r w:rsidR="00836F37">
              <w:rPr>
                <w:noProof/>
                <w:webHidden/>
              </w:rPr>
            </w:r>
            <w:r w:rsidR="00836F37">
              <w:rPr>
                <w:noProof/>
                <w:webHidden/>
              </w:rPr>
              <w:fldChar w:fldCharType="separate"/>
            </w:r>
            <w:r w:rsidR="000D68B5">
              <w:rPr>
                <w:noProof/>
                <w:webHidden/>
              </w:rPr>
              <w:t>7</w:t>
            </w:r>
            <w:r w:rsidR="00836F37">
              <w:rPr>
                <w:noProof/>
                <w:webHidden/>
              </w:rPr>
              <w:fldChar w:fldCharType="end"/>
            </w:r>
          </w:hyperlink>
        </w:p>
        <w:p w14:paraId="46B29E29" w14:textId="231EA963" w:rsidR="00836F37" w:rsidRDefault="00BF3635">
          <w:pPr>
            <w:pStyle w:val="Kazalovsebine1"/>
            <w:rPr>
              <w:rFonts w:asciiTheme="minorHAnsi" w:eastAsiaTheme="minorEastAsia" w:hAnsiTheme="minorHAnsi"/>
              <w:noProof/>
              <w:sz w:val="24"/>
              <w:szCs w:val="24"/>
              <w:lang w:eastAsia="sl-SI"/>
            </w:rPr>
          </w:pPr>
          <w:hyperlink w:anchor="_Toc191383839" w:history="1">
            <w:r w:rsidR="00836F37" w:rsidRPr="00966F6B">
              <w:rPr>
                <w:rStyle w:val="Hiperpovezava"/>
                <w:noProof/>
              </w:rPr>
              <w:t>3</w:t>
            </w:r>
            <w:r w:rsidR="00836F37">
              <w:rPr>
                <w:rFonts w:asciiTheme="minorHAnsi" w:eastAsiaTheme="minorEastAsia" w:hAnsiTheme="minorHAnsi"/>
                <w:noProof/>
                <w:sz w:val="24"/>
                <w:szCs w:val="24"/>
                <w:lang w:eastAsia="sl-SI"/>
              </w:rPr>
              <w:tab/>
            </w:r>
            <w:r w:rsidR="00836F37" w:rsidRPr="00966F6B">
              <w:rPr>
                <w:rStyle w:val="Hiperpovezava"/>
                <w:noProof/>
              </w:rPr>
              <w:t>UTEMELJITEV SPREMEMBE PROGRAMA EVROPSKE KOHEZIJSKE POLITIKE 2021–2027</w:t>
            </w:r>
            <w:r w:rsidR="00836F37">
              <w:rPr>
                <w:noProof/>
                <w:webHidden/>
              </w:rPr>
              <w:tab/>
            </w:r>
            <w:r w:rsidR="00836F37">
              <w:rPr>
                <w:noProof/>
                <w:webHidden/>
              </w:rPr>
              <w:fldChar w:fldCharType="begin"/>
            </w:r>
            <w:r w:rsidR="00836F37">
              <w:rPr>
                <w:noProof/>
                <w:webHidden/>
              </w:rPr>
              <w:instrText xml:space="preserve"> PAGEREF _Toc191383839 \h </w:instrText>
            </w:r>
            <w:r w:rsidR="00836F37">
              <w:rPr>
                <w:noProof/>
                <w:webHidden/>
              </w:rPr>
            </w:r>
            <w:r w:rsidR="00836F37">
              <w:rPr>
                <w:noProof/>
                <w:webHidden/>
              </w:rPr>
              <w:fldChar w:fldCharType="separate"/>
            </w:r>
            <w:r w:rsidR="000D68B5">
              <w:rPr>
                <w:noProof/>
                <w:webHidden/>
              </w:rPr>
              <w:t>9</w:t>
            </w:r>
            <w:r w:rsidR="00836F37">
              <w:rPr>
                <w:noProof/>
                <w:webHidden/>
              </w:rPr>
              <w:fldChar w:fldCharType="end"/>
            </w:r>
          </w:hyperlink>
        </w:p>
        <w:p w14:paraId="4D6A7152" w14:textId="1AD74298" w:rsidR="00836F37" w:rsidRDefault="00BF3635">
          <w:pPr>
            <w:pStyle w:val="Kazalovsebine2"/>
            <w:rPr>
              <w:rFonts w:asciiTheme="minorHAnsi" w:eastAsiaTheme="minorEastAsia" w:hAnsiTheme="minorHAnsi"/>
              <w:noProof/>
              <w:sz w:val="24"/>
              <w:szCs w:val="24"/>
              <w:lang w:eastAsia="sl-SI"/>
            </w:rPr>
          </w:pPr>
          <w:hyperlink w:anchor="_Toc191383840" w:history="1">
            <w:r w:rsidR="00836F37" w:rsidRPr="00966F6B">
              <w:rPr>
                <w:rStyle w:val="Hiperpovezava"/>
                <w:noProof/>
              </w:rPr>
              <w:t>3.1</w:t>
            </w:r>
            <w:r w:rsidR="00836F37">
              <w:rPr>
                <w:rFonts w:asciiTheme="minorHAnsi" w:eastAsiaTheme="minorEastAsia" w:hAnsiTheme="minorHAnsi"/>
                <w:noProof/>
                <w:sz w:val="24"/>
                <w:szCs w:val="24"/>
                <w:lang w:eastAsia="sl-SI"/>
              </w:rPr>
              <w:tab/>
            </w:r>
            <w:r w:rsidR="00836F37" w:rsidRPr="00966F6B">
              <w:rPr>
                <w:rStyle w:val="Hiperpovezava"/>
                <w:noProof/>
              </w:rPr>
              <w:t>Vmesno poročilo o izvajanju PEKP</w:t>
            </w:r>
            <w:r w:rsidR="00836F37">
              <w:rPr>
                <w:noProof/>
                <w:webHidden/>
              </w:rPr>
              <w:tab/>
            </w:r>
            <w:r w:rsidR="00836F37">
              <w:rPr>
                <w:noProof/>
                <w:webHidden/>
              </w:rPr>
              <w:fldChar w:fldCharType="begin"/>
            </w:r>
            <w:r w:rsidR="00836F37">
              <w:rPr>
                <w:noProof/>
                <w:webHidden/>
              </w:rPr>
              <w:instrText xml:space="preserve"> PAGEREF _Toc191383840 \h </w:instrText>
            </w:r>
            <w:r w:rsidR="00836F37">
              <w:rPr>
                <w:noProof/>
                <w:webHidden/>
              </w:rPr>
            </w:r>
            <w:r w:rsidR="00836F37">
              <w:rPr>
                <w:noProof/>
                <w:webHidden/>
              </w:rPr>
              <w:fldChar w:fldCharType="separate"/>
            </w:r>
            <w:r w:rsidR="000D68B5">
              <w:rPr>
                <w:noProof/>
                <w:webHidden/>
              </w:rPr>
              <w:t>9</w:t>
            </w:r>
            <w:r w:rsidR="00836F37">
              <w:rPr>
                <w:noProof/>
                <w:webHidden/>
              </w:rPr>
              <w:fldChar w:fldCharType="end"/>
            </w:r>
          </w:hyperlink>
        </w:p>
        <w:p w14:paraId="078A3C3F" w14:textId="1831B6D7" w:rsidR="00836F37" w:rsidRDefault="00BF3635">
          <w:pPr>
            <w:pStyle w:val="Kazalovsebine2"/>
            <w:rPr>
              <w:rFonts w:asciiTheme="minorHAnsi" w:eastAsiaTheme="minorEastAsia" w:hAnsiTheme="minorHAnsi"/>
              <w:noProof/>
              <w:sz w:val="24"/>
              <w:szCs w:val="24"/>
              <w:lang w:eastAsia="sl-SI"/>
            </w:rPr>
          </w:pPr>
          <w:hyperlink w:anchor="_Toc191383841" w:history="1">
            <w:r w:rsidR="00836F37" w:rsidRPr="00966F6B">
              <w:rPr>
                <w:rStyle w:val="Hiperpovezava"/>
                <w:noProof/>
              </w:rPr>
              <w:t>3.2</w:t>
            </w:r>
            <w:r w:rsidR="00836F37">
              <w:rPr>
                <w:rFonts w:asciiTheme="minorHAnsi" w:eastAsiaTheme="minorEastAsia" w:hAnsiTheme="minorHAnsi"/>
                <w:noProof/>
                <w:sz w:val="24"/>
                <w:szCs w:val="24"/>
                <w:lang w:eastAsia="sl-SI"/>
              </w:rPr>
              <w:tab/>
            </w:r>
            <w:r w:rsidR="00836F37" w:rsidRPr="00966F6B">
              <w:rPr>
                <w:rStyle w:val="Hiperpovezava"/>
                <w:noProof/>
              </w:rPr>
              <w:t>Poročilo o produktivnosti</w:t>
            </w:r>
            <w:r w:rsidR="00836F37">
              <w:rPr>
                <w:noProof/>
                <w:webHidden/>
              </w:rPr>
              <w:tab/>
            </w:r>
            <w:r w:rsidR="00836F37">
              <w:rPr>
                <w:noProof/>
                <w:webHidden/>
              </w:rPr>
              <w:fldChar w:fldCharType="begin"/>
            </w:r>
            <w:r w:rsidR="00836F37">
              <w:rPr>
                <w:noProof/>
                <w:webHidden/>
              </w:rPr>
              <w:instrText xml:space="preserve"> PAGEREF _Toc191383841 \h </w:instrText>
            </w:r>
            <w:r w:rsidR="00836F37">
              <w:rPr>
                <w:noProof/>
                <w:webHidden/>
              </w:rPr>
            </w:r>
            <w:r w:rsidR="00836F37">
              <w:rPr>
                <w:noProof/>
                <w:webHidden/>
              </w:rPr>
              <w:fldChar w:fldCharType="separate"/>
            </w:r>
            <w:r w:rsidR="000D68B5">
              <w:rPr>
                <w:noProof/>
                <w:webHidden/>
              </w:rPr>
              <w:t>10</w:t>
            </w:r>
            <w:r w:rsidR="00836F37">
              <w:rPr>
                <w:noProof/>
                <w:webHidden/>
              </w:rPr>
              <w:fldChar w:fldCharType="end"/>
            </w:r>
          </w:hyperlink>
        </w:p>
        <w:p w14:paraId="5D35EE1D" w14:textId="762E67D7" w:rsidR="00836F37" w:rsidRDefault="00BF3635">
          <w:pPr>
            <w:pStyle w:val="Kazalovsebine2"/>
            <w:rPr>
              <w:rFonts w:asciiTheme="minorHAnsi" w:eastAsiaTheme="minorEastAsia" w:hAnsiTheme="minorHAnsi"/>
              <w:noProof/>
              <w:sz w:val="24"/>
              <w:szCs w:val="24"/>
              <w:lang w:eastAsia="sl-SI"/>
            </w:rPr>
          </w:pPr>
          <w:hyperlink w:anchor="_Toc191383842" w:history="1">
            <w:r w:rsidR="00836F37" w:rsidRPr="00966F6B">
              <w:rPr>
                <w:rStyle w:val="Hiperpovezava"/>
                <w:noProof/>
              </w:rPr>
              <w:t>3.3</w:t>
            </w:r>
            <w:r w:rsidR="00836F37">
              <w:rPr>
                <w:rFonts w:asciiTheme="minorHAnsi" w:eastAsiaTheme="minorEastAsia" w:hAnsiTheme="minorHAnsi"/>
                <w:noProof/>
                <w:sz w:val="24"/>
                <w:szCs w:val="24"/>
                <w:lang w:eastAsia="sl-SI"/>
              </w:rPr>
              <w:tab/>
            </w:r>
            <w:r w:rsidR="00836F37" w:rsidRPr="00966F6B">
              <w:rPr>
                <w:rStyle w:val="Hiperpovezava"/>
                <w:noProof/>
              </w:rPr>
              <w:t>Prihodnost evropske konkurenčnosti</w:t>
            </w:r>
            <w:r w:rsidR="00836F37">
              <w:rPr>
                <w:noProof/>
                <w:webHidden/>
              </w:rPr>
              <w:tab/>
            </w:r>
            <w:r w:rsidR="00836F37">
              <w:rPr>
                <w:noProof/>
                <w:webHidden/>
              </w:rPr>
              <w:fldChar w:fldCharType="begin"/>
            </w:r>
            <w:r w:rsidR="00836F37">
              <w:rPr>
                <w:noProof/>
                <w:webHidden/>
              </w:rPr>
              <w:instrText xml:space="preserve"> PAGEREF _Toc191383842 \h </w:instrText>
            </w:r>
            <w:r w:rsidR="00836F37">
              <w:rPr>
                <w:noProof/>
                <w:webHidden/>
              </w:rPr>
            </w:r>
            <w:r w:rsidR="00836F37">
              <w:rPr>
                <w:noProof/>
                <w:webHidden/>
              </w:rPr>
              <w:fldChar w:fldCharType="separate"/>
            </w:r>
            <w:r w:rsidR="000D68B5">
              <w:rPr>
                <w:noProof/>
                <w:webHidden/>
              </w:rPr>
              <w:t>11</w:t>
            </w:r>
            <w:r w:rsidR="00836F37">
              <w:rPr>
                <w:noProof/>
                <w:webHidden/>
              </w:rPr>
              <w:fldChar w:fldCharType="end"/>
            </w:r>
          </w:hyperlink>
        </w:p>
        <w:p w14:paraId="78FCB555" w14:textId="48DE2EAE" w:rsidR="00836F37" w:rsidRDefault="00BF3635">
          <w:pPr>
            <w:pStyle w:val="Kazalovsebine2"/>
            <w:rPr>
              <w:rFonts w:asciiTheme="minorHAnsi" w:eastAsiaTheme="minorEastAsia" w:hAnsiTheme="minorHAnsi"/>
              <w:noProof/>
              <w:sz w:val="24"/>
              <w:szCs w:val="24"/>
              <w:lang w:eastAsia="sl-SI"/>
            </w:rPr>
          </w:pPr>
          <w:hyperlink w:anchor="_Toc191383843" w:history="1">
            <w:r w:rsidR="00836F37" w:rsidRPr="00966F6B">
              <w:rPr>
                <w:rStyle w:val="Hiperpovezava"/>
                <w:noProof/>
              </w:rPr>
              <w:t>3.4</w:t>
            </w:r>
            <w:r w:rsidR="00836F37">
              <w:rPr>
                <w:rFonts w:asciiTheme="minorHAnsi" w:eastAsiaTheme="minorEastAsia" w:hAnsiTheme="minorHAnsi"/>
                <w:noProof/>
                <w:sz w:val="24"/>
                <w:szCs w:val="24"/>
                <w:lang w:eastAsia="sl-SI"/>
              </w:rPr>
              <w:tab/>
            </w:r>
            <w:r w:rsidR="00836F37" w:rsidRPr="00966F6B">
              <w:rPr>
                <w:rStyle w:val="Hiperpovezava"/>
                <w:noProof/>
              </w:rPr>
              <w:t>Platforma STEP</w:t>
            </w:r>
            <w:r w:rsidR="00836F37">
              <w:rPr>
                <w:noProof/>
                <w:webHidden/>
              </w:rPr>
              <w:tab/>
            </w:r>
            <w:r w:rsidR="00836F37">
              <w:rPr>
                <w:noProof/>
                <w:webHidden/>
              </w:rPr>
              <w:fldChar w:fldCharType="begin"/>
            </w:r>
            <w:r w:rsidR="00836F37">
              <w:rPr>
                <w:noProof/>
                <w:webHidden/>
              </w:rPr>
              <w:instrText xml:space="preserve"> PAGEREF _Toc191383843 \h </w:instrText>
            </w:r>
            <w:r w:rsidR="00836F37">
              <w:rPr>
                <w:noProof/>
                <w:webHidden/>
              </w:rPr>
            </w:r>
            <w:r w:rsidR="00836F37">
              <w:rPr>
                <w:noProof/>
                <w:webHidden/>
              </w:rPr>
              <w:fldChar w:fldCharType="separate"/>
            </w:r>
            <w:r w:rsidR="000D68B5">
              <w:rPr>
                <w:noProof/>
                <w:webHidden/>
              </w:rPr>
              <w:t>11</w:t>
            </w:r>
            <w:r w:rsidR="00836F37">
              <w:rPr>
                <w:noProof/>
                <w:webHidden/>
              </w:rPr>
              <w:fldChar w:fldCharType="end"/>
            </w:r>
          </w:hyperlink>
        </w:p>
        <w:p w14:paraId="11C5862D" w14:textId="3CA9F0CA" w:rsidR="00836F37" w:rsidRDefault="00BF3635">
          <w:pPr>
            <w:pStyle w:val="Kazalovsebine2"/>
            <w:rPr>
              <w:rFonts w:asciiTheme="minorHAnsi" w:eastAsiaTheme="minorEastAsia" w:hAnsiTheme="minorHAnsi"/>
              <w:noProof/>
              <w:sz w:val="24"/>
              <w:szCs w:val="24"/>
              <w:lang w:eastAsia="sl-SI"/>
            </w:rPr>
          </w:pPr>
          <w:hyperlink w:anchor="_Toc191383844" w:history="1">
            <w:r w:rsidR="00836F37" w:rsidRPr="00966F6B">
              <w:rPr>
                <w:rStyle w:val="Hiperpovezava"/>
                <w:rFonts w:cs="Arial"/>
                <w:noProof/>
              </w:rPr>
              <w:t>3.5</w:t>
            </w:r>
            <w:r w:rsidR="00836F37">
              <w:rPr>
                <w:rFonts w:asciiTheme="minorHAnsi" w:eastAsiaTheme="minorEastAsia" w:hAnsiTheme="minorHAnsi"/>
                <w:noProof/>
                <w:sz w:val="24"/>
                <w:szCs w:val="24"/>
                <w:lang w:eastAsia="sl-SI"/>
              </w:rPr>
              <w:tab/>
            </w:r>
            <w:r w:rsidR="00836F37" w:rsidRPr="00966F6B">
              <w:rPr>
                <w:rStyle w:val="Hiperpovezava"/>
                <w:rFonts w:cs="Arial"/>
                <w:noProof/>
              </w:rPr>
              <w:t>Pristop k spremembi Programa evropske kohezijske politike 2021</w:t>
            </w:r>
            <w:r w:rsidR="00836F37" w:rsidRPr="00966F6B">
              <w:rPr>
                <w:rStyle w:val="Hiperpovezava"/>
                <w:rFonts w:cs="Arial"/>
                <w:noProof/>
                <w:shd w:val="clear" w:color="auto" w:fill="FFFFFF"/>
              </w:rPr>
              <w:t>–</w:t>
            </w:r>
            <w:r w:rsidR="00836F37" w:rsidRPr="00966F6B">
              <w:rPr>
                <w:rStyle w:val="Hiperpovezava"/>
                <w:rFonts w:cs="Arial"/>
                <w:noProof/>
              </w:rPr>
              <w:t>2027</w:t>
            </w:r>
            <w:r w:rsidR="00836F37">
              <w:rPr>
                <w:noProof/>
                <w:webHidden/>
              </w:rPr>
              <w:tab/>
            </w:r>
            <w:r w:rsidR="00836F37">
              <w:rPr>
                <w:noProof/>
                <w:webHidden/>
              </w:rPr>
              <w:fldChar w:fldCharType="begin"/>
            </w:r>
            <w:r w:rsidR="00836F37">
              <w:rPr>
                <w:noProof/>
                <w:webHidden/>
              </w:rPr>
              <w:instrText xml:space="preserve"> PAGEREF _Toc191383844 \h </w:instrText>
            </w:r>
            <w:r w:rsidR="00836F37">
              <w:rPr>
                <w:noProof/>
                <w:webHidden/>
              </w:rPr>
            </w:r>
            <w:r w:rsidR="00836F37">
              <w:rPr>
                <w:noProof/>
                <w:webHidden/>
              </w:rPr>
              <w:fldChar w:fldCharType="separate"/>
            </w:r>
            <w:r w:rsidR="000D68B5">
              <w:rPr>
                <w:noProof/>
                <w:webHidden/>
              </w:rPr>
              <w:t>12</w:t>
            </w:r>
            <w:r w:rsidR="00836F37">
              <w:rPr>
                <w:noProof/>
                <w:webHidden/>
              </w:rPr>
              <w:fldChar w:fldCharType="end"/>
            </w:r>
          </w:hyperlink>
        </w:p>
        <w:p w14:paraId="61B92F68" w14:textId="390A1564" w:rsidR="00836F37" w:rsidRDefault="00BF3635">
          <w:pPr>
            <w:pStyle w:val="Kazalovsebine1"/>
            <w:rPr>
              <w:rFonts w:asciiTheme="minorHAnsi" w:eastAsiaTheme="minorEastAsia" w:hAnsiTheme="minorHAnsi"/>
              <w:noProof/>
              <w:sz w:val="24"/>
              <w:szCs w:val="24"/>
              <w:lang w:eastAsia="sl-SI"/>
            </w:rPr>
          </w:pPr>
          <w:hyperlink w:anchor="_Toc191383845" w:history="1">
            <w:r w:rsidR="00836F37" w:rsidRPr="00966F6B">
              <w:rPr>
                <w:rStyle w:val="Hiperpovezava"/>
                <w:noProof/>
              </w:rPr>
              <w:t>4</w:t>
            </w:r>
            <w:r w:rsidR="00836F37">
              <w:rPr>
                <w:rFonts w:asciiTheme="minorHAnsi" w:eastAsiaTheme="minorEastAsia" w:hAnsiTheme="minorHAnsi"/>
                <w:noProof/>
                <w:sz w:val="24"/>
                <w:szCs w:val="24"/>
                <w:lang w:eastAsia="sl-SI"/>
              </w:rPr>
              <w:tab/>
            </w:r>
            <w:r w:rsidR="00836F37" w:rsidRPr="00966F6B">
              <w:rPr>
                <w:rStyle w:val="Hiperpovezava"/>
                <w:noProof/>
              </w:rPr>
              <w:t>KLJUČNE SPREMEMBE PEKP</w:t>
            </w:r>
            <w:r w:rsidR="00836F37">
              <w:rPr>
                <w:noProof/>
                <w:webHidden/>
              </w:rPr>
              <w:tab/>
            </w:r>
            <w:r w:rsidR="00836F37">
              <w:rPr>
                <w:noProof/>
                <w:webHidden/>
              </w:rPr>
              <w:fldChar w:fldCharType="begin"/>
            </w:r>
            <w:r w:rsidR="00836F37">
              <w:rPr>
                <w:noProof/>
                <w:webHidden/>
              </w:rPr>
              <w:instrText xml:space="preserve"> PAGEREF _Toc191383845 \h </w:instrText>
            </w:r>
            <w:r w:rsidR="00836F37">
              <w:rPr>
                <w:noProof/>
                <w:webHidden/>
              </w:rPr>
            </w:r>
            <w:r w:rsidR="00836F37">
              <w:rPr>
                <w:noProof/>
                <w:webHidden/>
              </w:rPr>
              <w:fldChar w:fldCharType="separate"/>
            </w:r>
            <w:r w:rsidR="000D68B5">
              <w:rPr>
                <w:noProof/>
                <w:webHidden/>
              </w:rPr>
              <w:t>14</w:t>
            </w:r>
            <w:r w:rsidR="00836F37">
              <w:rPr>
                <w:noProof/>
                <w:webHidden/>
              </w:rPr>
              <w:fldChar w:fldCharType="end"/>
            </w:r>
          </w:hyperlink>
        </w:p>
        <w:p w14:paraId="185C986D" w14:textId="4FB32E01" w:rsidR="00836F37" w:rsidRDefault="00BF3635">
          <w:pPr>
            <w:pStyle w:val="Kazalovsebine2"/>
            <w:rPr>
              <w:rFonts w:asciiTheme="minorHAnsi" w:eastAsiaTheme="minorEastAsia" w:hAnsiTheme="minorHAnsi"/>
              <w:noProof/>
              <w:sz w:val="24"/>
              <w:szCs w:val="24"/>
              <w:lang w:eastAsia="sl-SI"/>
            </w:rPr>
          </w:pPr>
          <w:hyperlink w:anchor="_Toc191383846" w:history="1">
            <w:r w:rsidR="00836F37" w:rsidRPr="00966F6B">
              <w:rPr>
                <w:rStyle w:val="Hiperpovezava"/>
                <w:noProof/>
              </w:rPr>
              <w:t>4.1</w:t>
            </w:r>
            <w:r w:rsidR="00836F37">
              <w:rPr>
                <w:rFonts w:asciiTheme="minorHAnsi" w:eastAsiaTheme="minorEastAsia" w:hAnsiTheme="minorHAnsi"/>
                <w:noProof/>
                <w:sz w:val="24"/>
                <w:szCs w:val="24"/>
                <w:lang w:eastAsia="sl-SI"/>
              </w:rPr>
              <w:tab/>
            </w:r>
            <w:r w:rsidR="00836F37" w:rsidRPr="00966F6B">
              <w:rPr>
                <w:rStyle w:val="Hiperpovezava"/>
                <w:noProof/>
              </w:rPr>
              <w:t>Nov specifični cilj RSO 1.6 Razvoj ali proizvodnja kritičnih tehnologij</w:t>
            </w:r>
            <w:r w:rsidR="00836F37">
              <w:rPr>
                <w:noProof/>
                <w:webHidden/>
              </w:rPr>
              <w:tab/>
            </w:r>
            <w:r w:rsidR="00836F37">
              <w:rPr>
                <w:noProof/>
                <w:webHidden/>
              </w:rPr>
              <w:fldChar w:fldCharType="begin"/>
            </w:r>
            <w:r w:rsidR="00836F37">
              <w:rPr>
                <w:noProof/>
                <w:webHidden/>
              </w:rPr>
              <w:instrText xml:space="preserve"> PAGEREF _Toc191383846 \h </w:instrText>
            </w:r>
            <w:r w:rsidR="00836F37">
              <w:rPr>
                <w:noProof/>
                <w:webHidden/>
              </w:rPr>
            </w:r>
            <w:r w:rsidR="00836F37">
              <w:rPr>
                <w:noProof/>
                <w:webHidden/>
              </w:rPr>
              <w:fldChar w:fldCharType="separate"/>
            </w:r>
            <w:r w:rsidR="000D68B5">
              <w:rPr>
                <w:noProof/>
                <w:webHidden/>
              </w:rPr>
              <w:t>14</w:t>
            </w:r>
            <w:r w:rsidR="00836F37">
              <w:rPr>
                <w:noProof/>
                <w:webHidden/>
              </w:rPr>
              <w:fldChar w:fldCharType="end"/>
            </w:r>
          </w:hyperlink>
        </w:p>
        <w:p w14:paraId="335059CD" w14:textId="3975ADD8" w:rsidR="00836F37" w:rsidRDefault="00BF3635">
          <w:pPr>
            <w:pStyle w:val="Kazalovsebine2"/>
            <w:rPr>
              <w:rFonts w:asciiTheme="minorHAnsi" w:eastAsiaTheme="minorEastAsia" w:hAnsiTheme="minorHAnsi"/>
              <w:noProof/>
              <w:sz w:val="24"/>
              <w:szCs w:val="24"/>
              <w:lang w:eastAsia="sl-SI"/>
            </w:rPr>
          </w:pPr>
          <w:hyperlink w:anchor="_Toc191383847" w:history="1">
            <w:r w:rsidR="00836F37" w:rsidRPr="00966F6B">
              <w:rPr>
                <w:rStyle w:val="Hiperpovezava"/>
                <w:noProof/>
              </w:rPr>
              <w:t>4.2</w:t>
            </w:r>
            <w:r w:rsidR="00836F37">
              <w:rPr>
                <w:rFonts w:asciiTheme="minorHAnsi" w:eastAsiaTheme="minorEastAsia" w:hAnsiTheme="minorHAnsi"/>
                <w:noProof/>
                <w:sz w:val="24"/>
                <w:szCs w:val="24"/>
                <w:lang w:eastAsia="sl-SI"/>
              </w:rPr>
              <w:tab/>
            </w:r>
            <w:r w:rsidR="00836F37" w:rsidRPr="00966F6B">
              <w:rPr>
                <w:rStyle w:val="Hiperpovezava"/>
                <w:noProof/>
              </w:rPr>
              <w:t>Predlog spremembe zaradi STEP na RSO 1.1. Razvoj in izboljšanje raziskovalne in inovacijske zmogljivosti ter uvajanje naprednih tehnologij (ESRR)</w:t>
            </w:r>
            <w:r w:rsidR="00836F37">
              <w:rPr>
                <w:noProof/>
                <w:webHidden/>
              </w:rPr>
              <w:tab/>
            </w:r>
            <w:r w:rsidR="00836F37">
              <w:rPr>
                <w:noProof/>
                <w:webHidden/>
              </w:rPr>
              <w:fldChar w:fldCharType="begin"/>
            </w:r>
            <w:r w:rsidR="00836F37">
              <w:rPr>
                <w:noProof/>
                <w:webHidden/>
              </w:rPr>
              <w:instrText xml:space="preserve"> PAGEREF _Toc191383847 \h </w:instrText>
            </w:r>
            <w:r w:rsidR="00836F37">
              <w:rPr>
                <w:noProof/>
                <w:webHidden/>
              </w:rPr>
            </w:r>
            <w:r w:rsidR="00836F37">
              <w:rPr>
                <w:noProof/>
                <w:webHidden/>
              </w:rPr>
              <w:fldChar w:fldCharType="separate"/>
            </w:r>
            <w:r w:rsidR="000D68B5">
              <w:rPr>
                <w:noProof/>
                <w:webHidden/>
              </w:rPr>
              <w:t>17</w:t>
            </w:r>
            <w:r w:rsidR="00836F37">
              <w:rPr>
                <w:noProof/>
                <w:webHidden/>
              </w:rPr>
              <w:fldChar w:fldCharType="end"/>
            </w:r>
          </w:hyperlink>
        </w:p>
        <w:p w14:paraId="2C91DCE6" w14:textId="56B87D63" w:rsidR="00836F37" w:rsidRDefault="00BF3635">
          <w:pPr>
            <w:pStyle w:val="Kazalovsebine2"/>
            <w:rPr>
              <w:rFonts w:asciiTheme="minorHAnsi" w:eastAsiaTheme="minorEastAsia" w:hAnsiTheme="minorHAnsi"/>
              <w:noProof/>
              <w:sz w:val="24"/>
              <w:szCs w:val="24"/>
              <w:lang w:eastAsia="sl-SI"/>
            </w:rPr>
          </w:pPr>
          <w:hyperlink w:anchor="_Toc191383848" w:history="1">
            <w:r w:rsidR="00836F37" w:rsidRPr="00966F6B">
              <w:rPr>
                <w:rStyle w:val="Hiperpovezava"/>
                <w:noProof/>
              </w:rPr>
              <w:t>4.3</w:t>
            </w:r>
            <w:r w:rsidR="00836F37">
              <w:rPr>
                <w:rFonts w:asciiTheme="minorHAnsi" w:eastAsiaTheme="minorEastAsia" w:hAnsiTheme="minorHAnsi"/>
                <w:noProof/>
                <w:sz w:val="24"/>
                <w:szCs w:val="24"/>
                <w:lang w:eastAsia="sl-SI"/>
              </w:rPr>
              <w:tab/>
            </w:r>
            <w:r w:rsidR="00836F37" w:rsidRPr="00966F6B">
              <w:rPr>
                <w:rStyle w:val="Hiperpovezava"/>
                <w:noProof/>
              </w:rPr>
              <w:t>Predlog spremembe zaradi STEP na RSO 1.2. Izkoriščanje prednosti digitalizacije za državljane, podjetja, raziskovalne organizacije in javne organe (ESRR)</w:t>
            </w:r>
            <w:r w:rsidR="00836F37">
              <w:rPr>
                <w:noProof/>
                <w:webHidden/>
              </w:rPr>
              <w:tab/>
            </w:r>
            <w:r w:rsidR="00836F37">
              <w:rPr>
                <w:noProof/>
                <w:webHidden/>
              </w:rPr>
              <w:fldChar w:fldCharType="begin"/>
            </w:r>
            <w:r w:rsidR="00836F37">
              <w:rPr>
                <w:noProof/>
                <w:webHidden/>
              </w:rPr>
              <w:instrText xml:space="preserve"> PAGEREF _Toc191383848 \h </w:instrText>
            </w:r>
            <w:r w:rsidR="00836F37">
              <w:rPr>
                <w:noProof/>
                <w:webHidden/>
              </w:rPr>
            </w:r>
            <w:r w:rsidR="00836F37">
              <w:rPr>
                <w:noProof/>
                <w:webHidden/>
              </w:rPr>
              <w:fldChar w:fldCharType="separate"/>
            </w:r>
            <w:r w:rsidR="000D68B5">
              <w:rPr>
                <w:noProof/>
                <w:webHidden/>
              </w:rPr>
              <w:t>18</w:t>
            </w:r>
            <w:r w:rsidR="00836F37">
              <w:rPr>
                <w:noProof/>
                <w:webHidden/>
              </w:rPr>
              <w:fldChar w:fldCharType="end"/>
            </w:r>
          </w:hyperlink>
        </w:p>
        <w:p w14:paraId="72D42BB5" w14:textId="0D35A4EF" w:rsidR="00836F37" w:rsidRDefault="00BF3635">
          <w:pPr>
            <w:pStyle w:val="Kazalovsebine2"/>
            <w:rPr>
              <w:rFonts w:asciiTheme="minorHAnsi" w:eastAsiaTheme="minorEastAsia" w:hAnsiTheme="minorHAnsi"/>
              <w:noProof/>
              <w:sz w:val="24"/>
              <w:szCs w:val="24"/>
              <w:lang w:eastAsia="sl-SI"/>
            </w:rPr>
          </w:pPr>
          <w:hyperlink w:anchor="_Toc191383849" w:history="1">
            <w:r w:rsidR="00836F37" w:rsidRPr="00966F6B">
              <w:rPr>
                <w:rStyle w:val="Hiperpovezava"/>
                <w:noProof/>
              </w:rPr>
              <w:t>4.4</w:t>
            </w:r>
            <w:r w:rsidR="00836F37">
              <w:rPr>
                <w:rFonts w:asciiTheme="minorHAnsi" w:eastAsiaTheme="minorEastAsia" w:hAnsiTheme="minorHAnsi"/>
                <w:noProof/>
                <w:sz w:val="24"/>
                <w:szCs w:val="24"/>
                <w:lang w:eastAsia="sl-SI"/>
              </w:rPr>
              <w:tab/>
            </w:r>
            <w:r w:rsidR="00836F37" w:rsidRPr="00966F6B">
              <w:rPr>
                <w:rStyle w:val="Hiperpovezava"/>
                <w:noProof/>
              </w:rPr>
              <w:t>Predlog spremembe zaradi STEP na RSO 1.4. Razvoj znanj in spretnosti za pametno specializacijo, industrijski prehod in podjetništvo (ESRR)</w:t>
            </w:r>
            <w:r w:rsidR="00836F37">
              <w:rPr>
                <w:noProof/>
                <w:webHidden/>
              </w:rPr>
              <w:tab/>
            </w:r>
            <w:r w:rsidR="00836F37">
              <w:rPr>
                <w:noProof/>
                <w:webHidden/>
              </w:rPr>
              <w:fldChar w:fldCharType="begin"/>
            </w:r>
            <w:r w:rsidR="00836F37">
              <w:rPr>
                <w:noProof/>
                <w:webHidden/>
              </w:rPr>
              <w:instrText xml:space="preserve"> PAGEREF _Toc191383849 \h </w:instrText>
            </w:r>
            <w:r w:rsidR="00836F37">
              <w:rPr>
                <w:noProof/>
                <w:webHidden/>
              </w:rPr>
            </w:r>
            <w:r w:rsidR="00836F37">
              <w:rPr>
                <w:noProof/>
                <w:webHidden/>
              </w:rPr>
              <w:fldChar w:fldCharType="separate"/>
            </w:r>
            <w:r w:rsidR="000D68B5">
              <w:rPr>
                <w:noProof/>
                <w:webHidden/>
              </w:rPr>
              <w:t>19</w:t>
            </w:r>
            <w:r w:rsidR="00836F37">
              <w:rPr>
                <w:noProof/>
                <w:webHidden/>
              </w:rPr>
              <w:fldChar w:fldCharType="end"/>
            </w:r>
          </w:hyperlink>
        </w:p>
        <w:p w14:paraId="509DBBE2" w14:textId="3E9DD372" w:rsidR="00836F37" w:rsidRDefault="00BF3635">
          <w:pPr>
            <w:pStyle w:val="Kazalovsebine2"/>
            <w:rPr>
              <w:rFonts w:asciiTheme="minorHAnsi" w:eastAsiaTheme="minorEastAsia" w:hAnsiTheme="minorHAnsi"/>
              <w:noProof/>
              <w:sz w:val="24"/>
              <w:szCs w:val="24"/>
              <w:lang w:eastAsia="sl-SI"/>
            </w:rPr>
          </w:pPr>
          <w:hyperlink w:anchor="_Toc191383850" w:history="1">
            <w:r w:rsidR="00836F37" w:rsidRPr="00966F6B">
              <w:rPr>
                <w:rStyle w:val="Hiperpovezava"/>
                <w:noProof/>
              </w:rPr>
              <w:t>4.5</w:t>
            </w:r>
            <w:r w:rsidR="00836F37">
              <w:rPr>
                <w:rFonts w:asciiTheme="minorHAnsi" w:eastAsiaTheme="minorEastAsia" w:hAnsiTheme="minorHAnsi"/>
                <w:noProof/>
                <w:sz w:val="24"/>
                <w:szCs w:val="24"/>
                <w:lang w:eastAsia="sl-SI"/>
              </w:rPr>
              <w:tab/>
            </w:r>
            <w:r w:rsidR="00836F37" w:rsidRPr="00966F6B">
              <w:rPr>
                <w:rStyle w:val="Hiperpovezava"/>
                <w:noProof/>
              </w:rPr>
              <w:t>Predlog spremembe zaradi STEP na RSO 2.2 RSO2.2. Spodbujanje energije iz obnovljivih virov v skladu z Direktivo (EU) 2018/2001 o spodbujanju uporabe energije iz obnovljivih virov [1], vključno s trajnostnimi merili, določenimi v Direktivi (ESRR)</w:t>
            </w:r>
            <w:r w:rsidR="00836F37">
              <w:rPr>
                <w:noProof/>
                <w:webHidden/>
              </w:rPr>
              <w:tab/>
            </w:r>
            <w:r w:rsidR="00836F37">
              <w:rPr>
                <w:noProof/>
                <w:webHidden/>
              </w:rPr>
              <w:fldChar w:fldCharType="begin"/>
            </w:r>
            <w:r w:rsidR="00836F37">
              <w:rPr>
                <w:noProof/>
                <w:webHidden/>
              </w:rPr>
              <w:instrText xml:space="preserve"> PAGEREF _Toc191383850 \h </w:instrText>
            </w:r>
            <w:r w:rsidR="00836F37">
              <w:rPr>
                <w:noProof/>
                <w:webHidden/>
              </w:rPr>
            </w:r>
            <w:r w:rsidR="00836F37">
              <w:rPr>
                <w:noProof/>
                <w:webHidden/>
              </w:rPr>
              <w:fldChar w:fldCharType="separate"/>
            </w:r>
            <w:r w:rsidR="000D68B5">
              <w:rPr>
                <w:noProof/>
                <w:webHidden/>
              </w:rPr>
              <w:t>20</w:t>
            </w:r>
            <w:r w:rsidR="00836F37">
              <w:rPr>
                <w:noProof/>
                <w:webHidden/>
              </w:rPr>
              <w:fldChar w:fldCharType="end"/>
            </w:r>
          </w:hyperlink>
        </w:p>
        <w:p w14:paraId="4E3DB421" w14:textId="32C3F61E" w:rsidR="00836F37" w:rsidRDefault="00BF3635">
          <w:pPr>
            <w:pStyle w:val="Kazalovsebine2"/>
            <w:rPr>
              <w:rFonts w:asciiTheme="minorHAnsi" w:eastAsiaTheme="minorEastAsia" w:hAnsiTheme="minorHAnsi"/>
              <w:noProof/>
              <w:sz w:val="24"/>
              <w:szCs w:val="24"/>
              <w:lang w:eastAsia="sl-SI"/>
            </w:rPr>
          </w:pPr>
          <w:hyperlink w:anchor="_Toc191383851" w:history="1">
            <w:r w:rsidR="00836F37" w:rsidRPr="00966F6B">
              <w:rPr>
                <w:rStyle w:val="Hiperpovezava"/>
                <w:noProof/>
              </w:rPr>
              <w:t>4.6</w:t>
            </w:r>
            <w:r w:rsidR="00836F37">
              <w:rPr>
                <w:rFonts w:asciiTheme="minorHAnsi" w:eastAsiaTheme="minorEastAsia" w:hAnsiTheme="minorHAnsi"/>
                <w:noProof/>
                <w:sz w:val="24"/>
                <w:szCs w:val="24"/>
                <w:lang w:eastAsia="sl-SI"/>
              </w:rPr>
              <w:tab/>
            </w:r>
            <w:r w:rsidR="00836F37" w:rsidRPr="00966F6B">
              <w:rPr>
                <w:rStyle w:val="Hiperpovezava"/>
                <w:noProof/>
              </w:rPr>
              <w:t>Predlog spremembe zaradi STEP ter predlog novega ukrepa v RSO 2.3 Spodbujanje energije iz obnovljivih virov v skladu z Direktivo (EU) 2018/2001, vključno s trajnostnimi merili, določenimi v navedeni direktivi</w:t>
            </w:r>
            <w:r w:rsidR="00836F37">
              <w:rPr>
                <w:noProof/>
                <w:webHidden/>
              </w:rPr>
              <w:tab/>
            </w:r>
            <w:r w:rsidR="00836F37">
              <w:rPr>
                <w:noProof/>
                <w:webHidden/>
              </w:rPr>
              <w:fldChar w:fldCharType="begin"/>
            </w:r>
            <w:r w:rsidR="00836F37">
              <w:rPr>
                <w:noProof/>
                <w:webHidden/>
              </w:rPr>
              <w:instrText xml:space="preserve"> PAGEREF _Toc191383851 \h </w:instrText>
            </w:r>
            <w:r w:rsidR="00836F37">
              <w:rPr>
                <w:noProof/>
                <w:webHidden/>
              </w:rPr>
            </w:r>
            <w:r w:rsidR="00836F37">
              <w:rPr>
                <w:noProof/>
                <w:webHidden/>
              </w:rPr>
              <w:fldChar w:fldCharType="separate"/>
            </w:r>
            <w:r w:rsidR="000D68B5">
              <w:rPr>
                <w:noProof/>
                <w:webHidden/>
              </w:rPr>
              <w:t>20</w:t>
            </w:r>
            <w:r w:rsidR="00836F37">
              <w:rPr>
                <w:noProof/>
                <w:webHidden/>
              </w:rPr>
              <w:fldChar w:fldCharType="end"/>
            </w:r>
          </w:hyperlink>
        </w:p>
        <w:p w14:paraId="30342676" w14:textId="65828CC1" w:rsidR="00836F37" w:rsidRDefault="00BF3635">
          <w:pPr>
            <w:pStyle w:val="Kazalovsebine2"/>
            <w:rPr>
              <w:rFonts w:asciiTheme="minorHAnsi" w:eastAsiaTheme="minorEastAsia" w:hAnsiTheme="minorHAnsi"/>
              <w:noProof/>
              <w:sz w:val="24"/>
              <w:szCs w:val="24"/>
              <w:lang w:eastAsia="sl-SI"/>
            </w:rPr>
          </w:pPr>
          <w:hyperlink w:anchor="_Toc191383852" w:history="1">
            <w:r w:rsidR="00836F37" w:rsidRPr="00966F6B">
              <w:rPr>
                <w:rStyle w:val="Hiperpovezava"/>
                <w:rFonts w:eastAsiaTheme="majorEastAsia" w:cstheme="majorBidi"/>
                <w:noProof/>
              </w:rPr>
              <w:t>4.7</w:t>
            </w:r>
            <w:r w:rsidR="00836F37">
              <w:rPr>
                <w:rFonts w:asciiTheme="minorHAnsi" w:eastAsiaTheme="minorEastAsia" w:hAnsiTheme="minorHAnsi"/>
                <w:noProof/>
                <w:sz w:val="24"/>
                <w:szCs w:val="24"/>
                <w:lang w:eastAsia="sl-SI"/>
              </w:rPr>
              <w:tab/>
            </w:r>
            <w:r w:rsidR="00836F37" w:rsidRPr="00966F6B">
              <w:rPr>
                <w:rStyle w:val="Hiperpovezava"/>
                <w:rFonts w:eastAsiaTheme="majorEastAsia" w:cstheme="majorBidi"/>
                <w:noProof/>
              </w:rPr>
              <w:t>Cilj politike 4: Od financiranja ukrepov za zaposlovanje k ukrepom za dvig kompetenc in izboljšanje zaposljivosti</w:t>
            </w:r>
            <w:r w:rsidR="00836F37">
              <w:rPr>
                <w:noProof/>
                <w:webHidden/>
              </w:rPr>
              <w:tab/>
            </w:r>
            <w:r w:rsidR="00836F37">
              <w:rPr>
                <w:noProof/>
                <w:webHidden/>
              </w:rPr>
              <w:fldChar w:fldCharType="begin"/>
            </w:r>
            <w:r w:rsidR="00836F37">
              <w:rPr>
                <w:noProof/>
                <w:webHidden/>
              </w:rPr>
              <w:instrText xml:space="preserve"> PAGEREF _Toc191383852 \h </w:instrText>
            </w:r>
            <w:r w:rsidR="00836F37">
              <w:rPr>
                <w:noProof/>
                <w:webHidden/>
              </w:rPr>
            </w:r>
            <w:r w:rsidR="00836F37">
              <w:rPr>
                <w:noProof/>
                <w:webHidden/>
              </w:rPr>
              <w:fldChar w:fldCharType="separate"/>
            </w:r>
            <w:r w:rsidR="000D68B5">
              <w:rPr>
                <w:noProof/>
                <w:webHidden/>
              </w:rPr>
              <w:t>21</w:t>
            </w:r>
            <w:r w:rsidR="00836F37">
              <w:rPr>
                <w:noProof/>
                <w:webHidden/>
              </w:rPr>
              <w:fldChar w:fldCharType="end"/>
            </w:r>
          </w:hyperlink>
        </w:p>
        <w:p w14:paraId="5BB459DA" w14:textId="60A3C236" w:rsidR="00836F37" w:rsidRDefault="00BF3635">
          <w:pPr>
            <w:pStyle w:val="Kazalovsebine2"/>
            <w:rPr>
              <w:rFonts w:asciiTheme="minorHAnsi" w:eastAsiaTheme="minorEastAsia" w:hAnsiTheme="minorHAnsi"/>
              <w:noProof/>
              <w:sz w:val="24"/>
              <w:szCs w:val="24"/>
              <w:lang w:eastAsia="sl-SI"/>
            </w:rPr>
          </w:pPr>
          <w:hyperlink w:anchor="_Toc191383853" w:history="1">
            <w:r w:rsidR="00836F37" w:rsidRPr="00966F6B">
              <w:rPr>
                <w:rStyle w:val="Hiperpovezava"/>
                <w:noProof/>
              </w:rPr>
              <w:t>4.8</w:t>
            </w:r>
            <w:r w:rsidR="00836F37">
              <w:rPr>
                <w:rFonts w:asciiTheme="minorHAnsi" w:eastAsiaTheme="minorEastAsia" w:hAnsiTheme="minorHAnsi"/>
                <w:noProof/>
                <w:sz w:val="24"/>
                <w:szCs w:val="24"/>
                <w:lang w:eastAsia="sl-SI"/>
              </w:rPr>
              <w:tab/>
            </w:r>
            <w:r w:rsidR="00836F37" w:rsidRPr="00966F6B">
              <w:rPr>
                <w:rStyle w:val="Hiperpovezava"/>
                <w:noProof/>
              </w:rPr>
              <w:t>Pričakovani učinki spremembe PEKP 21</w:t>
            </w:r>
            <w:r w:rsidR="00836F37" w:rsidRPr="00966F6B">
              <w:rPr>
                <w:rStyle w:val="Hiperpovezava"/>
                <w:rFonts w:cstheme="minorHAnsi"/>
                <w:noProof/>
              </w:rPr>
              <w:t>–</w:t>
            </w:r>
            <w:r w:rsidR="00836F37" w:rsidRPr="00966F6B">
              <w:rPr>
                <w:rStyle w:val="Hiperpovezava"/>
                <w:noProof/>
              </w:rPr>
              <w:t>27</w:t>
            </w:r>
            <w:r w:rsidR="00836F37">
              <w:rPr>
                <w:noProof/>
                <w:webHidden/>
              </w:rPr>
              <w:tab/>
            </w:r>
            <w:r w:rsidR="00836F37">
              <w:rPr>
                <w:noProof/>
                <w:webHidden/>
              </w:rPr>
              <w:fldChar w:fldCharType="begin"/>
            </w:r>
            <w:r w:rsidR="00836F37">
              <w:rPr>
                <w:noProof/>
                <w:webHidden/>
              </w:rPr>
              <w:instrText xml:space="preserve"> PAGEREF _Toc191383853 \h </w:instrText>
            </w:r>
            <w:r w:rsidR="00836F37">
              <w:rPr>
                <w:noProof/>
                <w:webHidden/>
              </w:rPr>
            </w:r>
            <w:r w:rsidR="00836F37">
              <w:rPr>
                <w:noProof/>
                <w:webHidden/>
              </w:rPr>
              <w:fldChar w:fldCharType="separate"/>
            </w:r>
            <w:r w:rsidR="000D68B5">
              <w:rPr>
                <w:noProof/>
                <w:webHidden/>
              </w:rPr>
              <w:t>24</w:t>
            </w:r>
            <w:r w:rsidR="00836F37">
              <w:rPr>
                <w:noProof/>
                <w:webHidden/>
              </w:rPr>
              <w:fldChar w:fldCharType="end"/>
            </w:r>
          </w:hyperlink>
        </w:p>
        <w:p w14:paraId="30E7E9FF" w14:textId="4FE2C447" w:rsidR="00836F37" w:rsidRDefault="00BF3635">
          <w:pPr>
            <w:pStyle w:val="Kazalovsebine1"/>
            <w:rPr>
              <w:rFonts w:asciiTheme="minorHAnsi" w:eastAsiaTheme="minorEastAsia" w:hAnsiTheme="minorHAnsi"/>
              <w:noProof/>
              <w:sz w:val="24"/>
              <w:szCs w:val="24"/>
              <w:lang w:eastAsia="sl-SI"/>
            </w:rPr>
          </w:pPr>
          <w:hyperlink w:anchor="_Toc191383854" w:history="1">
            <w:r w:rsidR="00836F37" w:rsidRPr="00966F6B">
              <w:rPr>
                <w:rStyle w:val="Hiperpovezava"/>
                <w:rFonts w:eastAsia="Times New Roman"/>
                <w:noProof/>
              </w:rPr>
              <w:t>5</w:t>
            </w:r>
            <w:r w:rsidR="00836F37">
              <w:rPr>
                <w:rFonts w:asciiTheme="minorHAnsi" w:eastAsiaTheme="minorEastAsia" w:hAnsiTheme="minorHAnsi"/>
                <w:noProof/>
                <w:sz w:val="24"/>
                <w:szCs w:val="24"/>
                <w:lang w:eastAsia="sl-SI"/>
              </w:rPr>
              <w:tab/>
            </w:r>
            <w:r w:rsidR="00836F37" w:rsidRPr="00966F6B">
              <w:rPr>
                <w:rStyle w:val="Hiperpovezava"/>
                <w:rFonts w:eastAsia="Times New Roman"/>
                <w:noProof/>
              </w:rPr>
              <w:t>FINANČNA PREGLEDNICA SPREMEMB PRAVIC PORABE PO CILJIH POLITIK V OKVIRU PROGRAMA EKP 2021–2027</w:t>
            </w:r>
            <w:r w:rsidR="00836F37">
              <w:rPr>
                <w:noProof/>
                <w:webHidden/>
              </w:rPr>
              <w:tab/>
            </w:r>
            <w:r w:rsidR="00836F37">
              <w:rPr>
                <w:noProof/>
                <w:webHidden/>
              </w:rPr>
              <w:fldChar w:fldCharType="begin"/>
            </w:r>
            <w:r w:rsidR="00836F37">
              <w:rPr>
                <w:noProof/>
                <w:webHidden/>
              </w:rPr>
              <w:instrText xml:space="preserve"> PAGEREF _Toc191383854 \h </w:instrText>
            </w:r>
            <w:r w:rsidR="00836F37">
              <w:rPr>
                <w:noProof/>
                <w:webHidden/>
              </w:rPr>
            </w:r>
            <w:r w:rsidR="00836F37">
              <w:rPr>
                <w:noProof/>
                <w:webHidden/>
              </w:rPr>
              <w:fldChar w:fldCharType="separate"/>
            </w:r>
            <w:r w:rsidR="000D68B5">
              <w:rPr>
                <w:noProof/>
                <w:webHidden/>
              </w:rPr>
              <w:t>25</w:t>
            </w:r>
            <w:r w:rsidR="00836F37">
              <w:rPr>
                <w:noProof/>
                <w:webHidden/>
              </w:rPr>
              <w:fldChar w:fldCharType="end"/>
            </w:r>
          </w:hyperlink>
        </w:p>
        <w:p w14:paraId="4C08A165" w14:textId="44BC3ADC" w:rsidR="00836F37" w:rsidRDefault="00BF3635">
          <w:pPr>
            <w:pStyle w:val="Kazalovsebine1"/>
            <w:rPr>
              <w:rFonts w:asciiTheme="minorHAnsi" w:eastAsiaTheme="minorEastAsia" w:hAnsiTheme="minorHAnsi"/>
              <w:noProof/>
              <w:sz w:val="24"/>
              <w:szCs w:val="24"/>
              <w:lang w:eastAsia="sl-SI"/>
            </w:rPr>
          </w:pPr>
          <w:hyperlink w:anchor="_Toc191383855" w:history="1">
            <w:r w:rsidR="00836F37" w:rsidRPr="00966F6B">
              <w:rPr>
                <w:rStyle w:val="Hiperpovezava"/>
                <w:noProof/>
              </w:rPr>
              <w:t>6</w:t>
            </w:r>
            <w:r w:rsidR="00836F37">
              <w:rPr>
                <w:rFonts w:asciiTheme="minorHAnsi" w:eastAsiaTheme="minorEastAsia" w:hAnsiTheme="minorHAnsi"/>
                <w:noProof/>
                <w:sz w:val="24"/>
                <w:szCs w:val="24"/>
                <w:lang w:eastAsia="sl-SI"/>
              </w:rPr>
              <w:tab/>
            </w:r>
            <w:r w:rsidR="00836F37" w:rsidRPr="00966F6B">
              <w:rPr>
                <w:rStyle w:val="Hiperpovezava"/>
                <w:noProof/>
              </w:rPr>
              <w:t>CILJI POLITIK – PREGLED VSEBINSKIH SPREMEMB</w:t>
            </w:r>
            <w:r w:rsidR="00836F37">
              <w:rPr>
                <w:noProof/>
                <w:webHidden/>
              </w:rPr>
              <w:tab/>
            </w:r>
            <w:r w:rsidR="00836F37">
              <w:rPr>
                <w:noProof/>
                <w:webHidden/>
              </w:rPr>
              <w:fldChar w:fldCharType="begin"/>
            </w:r>
            <w:r w:rsidR="00836F37">
              <w:rPr>
                <w:noProof/>
                <w:webHidden/>
              </w:rPr>
              <w:instrText xml:space="preserve"> PAGEREF _Toc191383855 \h </w:instrText>
            </w:r>
            <w:r w:rsidR="00836F37">
              <w:rPr>
                <w:noProof/>
                <w:webHidden/>
              </w:rPr>
            </w:r>
            <w:r w:rsidR="00836F37">
              <w:rPr>
                <w:noProof/>
                <w:webHidden/>
              </w:rPr>
              <w:fldChar w:fldCharType="separate"/>
            </w:r>
            <w:r w:rsidR="000D68B5">
              <w:rPr>
                <w:noProof/>
                <w:webHidden/>
              </w:rPr>
              <w:t>28</w:t>
            </w:r>
            <w:r w:rsidR="00836F37">
              <w:rPr>
                <w:noProof/>
                <w:webHidden/>
              </w:rPr>
              <w:fldChar w:fldCharType="end"/>
            </w:r>
          </w:hyperlink>
        </w:p>
        <w:p w14:paraId="02247DA8" w14:textId="0FC46202" w:rsidR="00836F37" w:rsidRDefault="00BF3635">
          <w:pPr>
            <w:pStyle w:val="Kazalovsebine2"/>
            <w:rPr>
              <w:rFonts w:asciiTheme="minorHAnsi" w:eastAsiaTheme="minorEastAsia" w:hAnsiTheme="minorHAnsi"/>
              <w:noProof/>
              <w:sz w:val="24"/>
              <w:szCs w:val="24"/>
              <w:lang w:eastAsia="sl-SI"/>
            </w:rPr>
          </w:pPr>
          <w:hyperlink w:anchor="_Toc191383856" w:history="1">
            <w:r w:rsidR="00836F37" w:rsidRPr="00966F6B">
              <w:rPr>
                <w:rStyle w:val="Hiperpovezava"/>
                <w:noProof/>
              </w:rPr>
              <w:t>6.1</w:t>
            </w:r>
            <w:r w:rsidR="00836F37">
              <w:rPr>
                <w:rFonts w:asciiTheme="minorHAnsi" w:eastAsiaTheme="minorEastAsia" w:hAnsiTheme="minorHAnsi"/>
                <w:noProof/>
                <w:sz w:val="24"/>
                <w:szCs w:val="24"/>
                <w:lang w:eastAsia="sl-SI"/>
              </w:rPr>
              <w:tab/>
            </w:r>
            <w:r w:rsidR="00836F37" w:rsidRPr="00966F6B">
              <w:rPr>
                <w:rStyle w:val="Hiperpovezava"/>
                <w:noProof/>
              </w:rPr>
              <w:t>Cilj politike 1: Konkurenčnejša in pametnejša Slovenija s spodbujanjem inovativne in pametne gospodarske preobrazbe ter regionalne povezljivosti na področju IKT</w:t>
            </w:r>
            <w:r w:rsidR="00836F37">
              <w:rPr>
                <w:noProof/>
                <w:webHidden/>
              </w:rPr>
              <w:tab/>
            </w:r>
            <w:r w:rsidR="00836F37">
              <w:rPr>
                <w:noProof/>
                <w:webHidden/>
              </w:rPr>
              <w:fldChar w:fldCharType="begin"/>
            </w:r>
            <w:r w:rsidR="00836F37">
              <w:rPr>
                <w:noProof/>
                <w:webHidden/>
              </w:rPr>
              <w:instrText xml:space="preserve"> PAGEREF _Toc191383856 \h </w:instrText>
            </w:r>
            <w:r w:rsidR="00836F37">
              <w:rPr>
                <w:noProof/>
                <w:webHidden/>
              </w:rPr>
            </w:r>
            <w:r w:rsidR="00836F37">
              <w:rPr>
                <w:noProof/>
                <w:webHidden/>
              </w:rPr>
              <w:fldChar w:fldCharType="separate"/>
            </w:r>
            <w:r w:rsidR="000D68B5">
              <w:rPr>
                <w:noProof/>
                <w:webHidden/>
              </w:rPr>
              <w:t>28</w:t>
            </w:r>
            <w:r w:rsidR="00836F37">
              <w:rPr>
                <w:noProof/>
                <w:webHidden/>
              </w:rPr>
              <w:fldChar w:fldCharType="end"/>
            </w:r>
          </w:hyperlink>
        </w:p>
        <w:p w14:paraId="4CF540F7" w14:textId="146B23BE" w:rsidR="00836F37" w:rsidRDefault="00BF3635">
          <w:pPr>
            <w:pStyle w:val="Kazalovsebine3"/>
            <w:rPr>
              <w:rFonts w:asciiTheme="minorHAnsi" w:eastAsiaTheme="minorEastAsia" w:hAnsiTheme="minorHAnsi"/>
              <w:noProof/>
              <w:sz w:val="24"/>
              <w:szCs w:val="24"/>
              <w:lang w:eastAsia="sl-SI"/>
            </w:rPr>
          </w:pPr>
          <w:hyperlink w:anchor="_Toc191383857" w:history="1">
            <w:r w:rsidR="00836F37" w:rsidRPr="00966F6B">
              <w:rPr>
                <w:rStyle w:val="Hiperpovezava"/>
                <w:noProof/>
              </w:rPr>
              <w:t>6.1.1</w:t>
            </w:r>
            <w:r w:rsidR="00836F37">
              <w:rPr>
                <w:rFonts w:asciiTheme="minorHAnsi" w:eastAsiaTheme="minorEastAsia" w:hAnsiTheme="minorHAnsi"/>
                <w:noProof/>
                <w:sz w:val="24"/>
                <w:szCs w:val="24"/>
                <w:lang w:eastAsia="sl-SI"/>
              </w:rPr>
              <w:tab/>
            </w:r>
            <w:r w:rsidR="00836F37" w:rsidRPr="00966F6B">
              <w:rPr>
                <w:rStyle w:val="Hiperpovezava"/>
                <w:noProof/>
              </w:rPr>
              <w:t>RSO1.1 Razvoj in izboljšanje raziskovalne in inovacijske zmogljivosti ter uvajanje naprednih tehnologij (ESRR)</w:t>
            </w:r>
            <w:r w:rsidR="00836F37">
              <w:rPr>
                <w:noProof/>
                <w:webHidden/>
              </w:rPr>
              <w:tab/>
            </w:r>
            <w:r w:rsidR="00836F37">
              <w:rPr>
                <w:noProof/>
                <w:webHidden/>
              </w:rPr>
              <w:fldChar w:fldCharType="begin"/>
            </w:r>
            <w:r w:rsidR="00836F37">
              <w:rPr>
                <w:noProof/>
                <w:webHidden/>
              </w:rPr>
              <w:instrText xml:space="preserve"> PAGEREF _Toc191383857 \h </w:instrText>
            </w:r>
            <w:r w:rsidR="00836F37">
              <w:rPr>
                <w:noProof/>
                <w:webHidden/>
              </w:rPr>
            </w:r>
            <w:r w:rsidR="00836F37">
              <w:rPr>
                <w:noProof/>
                <w:webHidden/>
              </w:rPr>
              <w:fldChar w:fldCharType="separate"/>
            </w:r>
            <w:r w:rsidR="000D68B5">
              <w:rPr>
                <w:noProof/>
                <w:webHidden/>
              </w:rPr>
              <w:t>28</w:t>
            </w:r>
            <w:r w:rsidR="00836F37">
              <w:rPr>
                <w:noProof/>
                <w:webHidden/>
              </w:rPr>
              <w:fldChar w:fldCharType="end"/>
            </w:r>
          </w:hyperlink>
        </w:p>
        <w:p w14:paraId="77CA20A4" w14:textId="70701564" w:rsidR="00836F37" w:rsidRDefault="00BF3635">
          <w:pPr>
            <w:pStyle w:val="Kazalovsebine3"/>
            <w:rPr>
              <w:rFonts w:asciiTheme="minorHAnsi" w:eastAsiaTheme="minorEastAsia" w:hAnsiTheme="minorHAnsi"/>
              <w:noProof/>
              <w:sz w:val="24"/>
              <w:szCs w:val="24"/>
              <w:lang w:eastAsia="sl-SI"/>
            </w:rPr>
          </w:pPr>
          <w:hyperlink w:anchor="_Toc191383858" w:history="1">
            <w:r w:rsidR="00836F37" w:rsidRPr="00966F6B">
              <w:rPr>
                <w:rStyle w:val="Hiperpovezava"/>
                <w:noProof/>
              </w:rPr>
              <w:t>6.1.2</w:t>
            </w:r>
            <w:r w:rsidR="00836F37">
              <w:rPr>
                <w:rFonts w:asciiTheme="minorHAnsi" w:eastAsiaTheme="minorEastAsia" w:hAnsiTheme="minorHAnsi"/>
                <w:noProof/>
                <w:sz w:val="24"/>
                <w:szCs w:val="24"/>
                <w:lang w:eastAsia="sl-SI"/>
              </w:rPr>
              <w:tab/>
            </w:r>
            <w:r w:rsidR="00836F37" w:rsidRPr="00966F6B">
              <w:rPr>
                <w:rStyle w:val="Hiperpovezava"/>
                <w:noProof/>
              </w:rPr>
              <w:t>RSO1.2. Izkoriščanje prednosti digitalizacije za državljane, podjetja, raziskovalne organizacije in javne organe (ESRR)</w:t>
            </w:r>
            <w:r w:rsidR="00836F37">
              <w:rPr>
                <w:noProof/>
                <w:webHidden/>
              </w:rPr>
              <w:tab/>
            </w:r>
            <w:r w:rsidR="00836F37">
              <w:rPr>
                <w:noProof/>
                <w:webHidden/>
              </w:rPr>
              <w:fldChar w:fldCharType="begin"/>
            </w:r>
            <w:r w:rsidR="00836F37">
              <w:rPr>
                <w:noProof/>
                <w:webHidden/>
              </w:rPr>
              <w:instrText xml:space="preserve"> PAGEREF _Toc191383858 \h </w:instrText>
            </w:r>
            <w:r w:rsidR="00836F37">
              <w:rPr>
                <w:noProof/>
                <w:webHidden/>
              </w:rPr>
            </w:r>
            <w:r w:rsidR="00836F37">
              <w:rPr>
                <w:noProof/>
                <w:webHidden/>
              </w:rPr>
              <w:fldChar w:fldCharType="separate"/>
            </w:r>
            <w:r w:rsidR="000D68B5">
              <w:rPr>
                <w:noProof/>
                <w:webHidden/>
              </w:rPr>
              <w:t>31</w:t>
            </w:r>
            <w:r w:rsidR="00836F37">
              <w:rPr>
                <w:noProof/>
                <w:webHidden/>
              </w:rPr>
              <w:fldChar w:fldCharType="end"/>
            </w:r>
          </w:hyperlink>
        </w:p>
        <w:p w14:paraId="20532D6A" w14:textId="14475F3C" w:rsidR="00836F37" w:rsidRDefault="00BF3635">
          <w:pPr>
            <w:pStyle w:val="Kazalovsebine3"/>
            <w:rPr>
              <w:rFonts w:asciiTheme="minorHAnsi" w:eastAsiaTheme="minorEastAsia" w:hAnsiTheme="minorHAnsi"/>
              <w:noProof/>
              <w:sz w:val="24"/>
              <w:szCs w:val="24"/>
              <w:lang w:eastAsia="sl-SI"/>
            </w:rPr>
          </w:pPr>
          <w:hyperlink w:anchor="_Toc191383859" w:history="1">
            <w:r w:rsidR="00836F37" w:rsidRPr="00966F6B">
              <w:rPr>
                <w:rStyle w:val="Hiperpovezava"/>
                <w:noProof/>
              </w:rPr>
              <w:t>6.1.3</w:t>
            </w:r>
            <w:r w:rsidR="00836F37">
              <w:rPr>
                <w:rFonts w:asciiTheme="minorHAnsi" w:eastAsiaTheme="minorEastAsia" w:hAnsiTheme="minorHAnsi"/>
                <w:noProof/>
                <w:sz w:val="24"/>
                <w:szCs w:val="24"/>
                <w:lang w:eastAsia="sl-SI"/>
              </w:rPr>
              <w:tab/>
            </w:r>
            <w:r w:rsidR="00836F37" w:rsidRPr="00966F6B">
              <w:rPr>
                <w:rStyle w:val="Hiperpovezava"/>
                <w:noProof/>
              </w:rPr>
              <w:t>RSO1.3 Krepitev trajnostne rasti in konkurenčnosti MSP ter ustvarjanje delovnih mest v MSP, med drugim s produktivnimi naložbami (ESRR)</w:t>
            </w:r>
            <w:r w:rsidR="00836F37">
              <w:rPr>
                <w:noProof/>
                <w:webHidden/>
              </w:rPr>
              <w:tab/>
            </w:r>
            <w:r w:rsidR="00836F37">
              <w:rPr>
                <w:noProof/>
                <w:webHidden/>
              </w:rPr>
              <w:fldChar w:fldCharType="begin"/>
            </w:r>
            <w:r w:rsidR="00836F37">
              <w:rPr>
                <w:noProof/>
                <w:webHidden/>
              </w:rPr>
              <w:instrText xml:space="preserve"> PAGEREF _Toc191383859 \h </w:instrText>
            </w:r>
            <w:r w:rsidR="00836F37">
              <w:rPr>
                <w:noProof/>
                <w:webHidden/>
              </w:rPr>
            </w:r>
            <w:r w:rsidR="00836F37">
              <w:rPr>
                <w:noProof/>
                <w:webHidden/>
              </w:rPr>
              <w:fldChar w:fldCharType="separate"/>
            </w:r>
            <w:r w:rsidR="000D68B5">
              <w:rPr>
                <w:noProof/>
                <w:webHidden/>
              </w:rPr>
              <w:t>32</w:t>
            </w:r>
            <w:r w:rsidR="00836F37">
              <w:rPr>
                <w:noProof/>
                <w:webHidden/>
              </w:rPr>
              <w:fldChar w:fldCharType="end"/>
            </w:r>
          </w:hyperlink>
        </w:p>
        <w:p w14:paraId="3201FC79" w14:textId="1E4A1569" w:rsidR="00836F37" w:rsidRDefault="00BF3635">
          <w:pPr>
            <w:pStyle w:val="Kazalovsebine3"/>
            <w:rPr>
              <w:rFonts w:asciiTheme="minorHAnsi" w:eastAsiaTheme="minorEastAsia" w:hAnsiTheme="minorHAnsi"/>
              <w:noProof/>
              <w:sz w:val="24"/>
              <w:szCs w:val="24"/>
              <w:lang w:eastAsia="sl-SI"/>
            </w:rPr>
          </w:pPr>
          <w:hyperlink w:anchor="_Toc191383860" w:history="1">
            <w:r w:rsidR="00836F37" w:rsidRPr="00966F6B">
              <w:rPr>
                <w:rStyle w:val="Hiperpovezava"/>
                <w:noProof/>
              </w:rPr>
              <w:t>6.1.4</w:t>
            </w:r>
            <w:r w:rsidR="00836F37">
              <w:rPr>
                <w:rFonts w:asciiTheme="minorHAnsi" w:eastAsiaTheme="minorEastAsia" w:hAnsiTheme="minorHAnsi"/>
                <w:noProof/>
                <w:sz w:val="24"/>
                <w:szCs w:val="24"/>
                <w:lang w:eastAsia="sl-SI"/>
              </w:rPr>
              <w:tab/>
            </w:r>
            <w:r w:rsidR="00836F37" w:rsidRPr="00966F6B">
              <w:rPr>
                <w:rStyle w:val="Hiperpovezava"/>
                <w:noProof/>
              </w:rPr>
              <w:t>RSO1.4 Razvoj znanj in spretnosti za pametno specializacijo, industrijski prehod in podjetništvo (ESRR)</w:t>
            </w:r>
            <w:r w:rsidR="00836F37">
              <w:rPr>
                <w:noProof/>
                <w:webHidden/>
              </w:rPr>
              <w:tab/>
            </w:r>
            <w:r w:rsidR="00836F37">
              <w:rPr>
                <w:noProof/>
                <w:webHidden/>
              </w:rPr>
              <w:fldChar w:fldCharType="begin"/>
            </w:r>
            <w:r w:rsidR="00836F37">
              <w:rPr>
                <w:noProof/>
                <w:webHidden/>
              </w:rPr>
              <w:instrText xml:space="preserve"> PAGEREF _Toc191383860 \h </w:instrText>
            </w:r>
            <w:r w:rsidR="00836F37">
              <w:rPr>
                <w:noProof/>
                <w:webHidden/>
              </w:rPr>
            </w:r>
            <w:r w:rsidR="00836F37">
              <w:rPr>
                <w:noProof/>
                <w:webHidden/>
              </w:rPr>
              <w:fldChar w:fldCharType="separate"/>
            </w:r>
            <w:r w:rsidR="000D68B5">
              <w:rPr>
                <w:noProof/>
                <w:webHidden/>
              </w:rPr>
              <w:t>34</w:t>
            </w:r>
            <w:r w:rsidR="00836F37">
              <w:rPr>
                <w:noProof/>
                <w:webHidden/>
              </w:rPr>
              <w:fldChar w:fldCharType="end"/>
            </w:r>
          </w:hyperlink>
        </w:p>
        <w:p w14:paraId="113F73F1" w14:textId="66F99087" w:rsidR="00836F37" w:rsidRDefault="00BF3635">
          <w:pPr>
            <w:pStyle w:val="Kazalovsebine3"/>
            <w:rPr>
              <w:rFonts w:asciiTheme="minorHAnsi" w:eastAsiaTheme="minorEastAsia" w:hAnsiTheme="minorHAnsi"/>
              <w:noProof/>
              <w:sz w:val="24"/>
              <w:szCs w:val="24"/>
              <w:lang w:eastAsia="sl-SI"/>
            </w:rPr>
          </w:pPr>
          <w:hyperlink w:anchor="_Toc191383861" w:history="1">
            <w:r w:rsidR="00836F37" w:rsidRPr="00966F6B">
              <w:rPr>
                <w:rStyle w:val="Hiperpovezava"/>
                <w:noProof/>
              </w:rPr>
              <w:t>Obrazložitev: Kazalnika RCO101 in RCR98 se znižata zaradi prenosa sredstev na nov RSO1.6 za namene STEP na račun ukrepa »Kompetenčni centri za razvoj kadrov 4.0« na RSO1.4.</w:t>
            </w:r>
            <w:r w:rsidR="00836F37">
              <w:rPr>
                <w:noProof/>
                <w:webHidden/>
              </w:rPr>
              <w:tab/>
            </w:r>
            <w:r w:rsidR="00836F37">
              <w:rPr>
                <w:noProof/>
                <w:webHidden/>
              </w:rPr>
              <w:fldChar w:fldCharType="begin"/>
            </w:r>
            <w:r w:rsidR="00836F37">
              <w:rPr>
                <w:noProof/>
                <w:webHidden/>
              </w:rPr>
              <w:instrText xml:space="preserve"> PAGEREF _Toc191383861 \h </w:instrText>
            </w:r>
            <w:r w:rsidR="00836F37">
              <w:rPr>
                <w:noProof/>
                <w:webHidden/>
              </w:rPr>
            </w:r>
            <w:r w:rsidR="00836F37">
              <w:rPr>
                <w:noProof/>
                <w:webHidden/>
              </w:rPr>
              <w:fldChar w:fldCharType="separate"/>
            </w:r>
            <w:r w:rsidR="000D68B5">
              <w:rPr>
                <w:noProof/>
                <w:webHidden/>
              </w:rPr>
              <w:t>35</w:t>
            </w:r>
            <w:r w:rsidR="00836F37">
              <w:rPr>
                <w:noProof/>
                <w:webHidden/>
              </w:rPr>
              <w:fldChar w:fldCharType="end"/>
            </w:r>
          </w:hyperlink>
        </w:p>
        <w:p w14:paraId="4A4FB10D" w14:textId="5FA6D862" w:rsidR="00836F37" w:rsidRDefault="00BF3635">
          <w:pPr>
            <w:pStyle w:val="Kazalovsebine3"/>
            <w:rPr>
              <w:rFonts w:asciiTheme="minorHAnsi" w:eastAsiaTheme="minorEastAsia" w:hAnsiTheme="minorHAnsi"/>
              <w:noProof/>
              <w:sz w:val="24"/>
              <w:szCs w:val="24"/>
              <w:lang w:eastAsia="sl-SI"/>
            </w:rPr>
          </w:pPr>
          <w:hyperlink w:anchor="_Toc191383862" w:history="1">
            <w:r w:rsidR="00836F37" w:rsidRPr="00966F6B">
              <w:rPr>
                <w:rStyle w:val="Hiperpovezava"/>
                <w:noProof/>
              </w:rPr>
              <w:t>6.1.5</w:t>
            </w:r>
            <w:r w:rsidR="00836F37">
              <w:rPr>
                <w:rFonts w:asciiTheme="minorHAnsi" w:eastAsiaTheme="minorEastAsia" w:hAnsiTheme="minorHAnsi"/>
                <w:noProof/>
                <w:sz w:val="24"/>
                <w:szCs w:val="24"/>
                <w:lang w:eastAsia="sl-SI"/>
              </w:rPr>
              <w:tab/>
            </w:r>
            <w:r w:rsidR="00836F37" w:rsidRPr="00966F6B">
              <w:rPr>
                <w:rStyle w:val="Hiperpovezava"/>
                <w:noProof/>
              </w:rPr>
              <w:t>Nov specifični cilj RSO 1.6 Razvoj ali proizvodnja kritičnih tehnologij</w:t>
            </w:r>
            <w:r w:rsidR="00836F37">
              <w:rPr>
                <w:noProof/>
                <w:webHidden/>
              </w:rPr>
              <w:tab/>
            </w:r>
            <w:r w:rsidR="00836F37">
              <w:rPr>
                <w:noProof/>
                <w:webHidden/>
              </w:rPr>
              <w:fldChar w:fldCharType="begin"/>
            </w:r>
            <w:r w:rsidR="00836F37">
              <w:rPr>
                <w:noProof/>
                <w:webHidden/>
              </w:rPr>
              <w:instrText xml:space="preserve"> PAGEREF _Toc191383862 \h </w:instrText>
            </w:r>
            <w:r w:rsidR="00836F37">
              <w:rPr>
                <w:noProof/>
                <w:webHidden/>
              </w:rPr>
            </w:r>
            <w:r w:rsidR="00836F37">
              <w:rPr>
                <w:noProof/>
                <w:webHidden/>
              </w:rPr>
              <w:fldChar w:fldCharType="separate"/>
            </w:r>
            <w:r w:rsidR="000D68B5">
              <w:rPr>
                <w:noProof/>
                <w:webHidden/>
              </w:rPr>
              <w:t>37</w:t>
            </w:r>
            <w:r w:rsidR="00836F37">
              <w:rPr>
                <w:noProof/>
                <w:webHidden/>
              </w:rPr>
              <w:fldChar w:fldCharType="end"/>
            </w:r>
          </w:hyperlink>
        </w:p>
        <w:p w14:paraId="6E482B04" w14:textId="7727DF28" w:rsidR="00836F37" w:rsidRDefault="00BF3635">
          <w:pPr>
            <w:pStyle w:val="Kazalovsebine2"/>
            <w:rPr>
              <w:rFonts w:asciiTheme="minorHAnsi" w:eastAsiaTheme="minorEastAsia" w:hAnsiTheme="minorHAnsi"/>
              <w:noProof/>
              <w:sz w:val="24"/>
              <w:szCs w:val="24"/>
              <w:lang w:eastAsia="sl-SI"/>
            </w:rPr>
          </w:pPr>
          <w:hyperlink w:anchor="_Toc191383863" w:history="1">
            <w:r w:rsidR="00836F37" w:rsidRPr="00966F6B">
              <w:rPr>
                <w:rStyle w:val="Hiperpovezava"/>
                <w:noProof/>
              </w:rPr>
              <w:t>6.2</w:t>
            </w:r>
            <w:r w:rsidR="00836F37">
              <w:rPr>
                <w:rFonts w:asciiTheme="minorHAnsi" w:eastAsiaTheme="minorEastAsia" w:hAnsiTheme="minorHAnsi"/>
                <w:noProof/>
                <w:sz w:val="24"/>
                <w:szCs w:val="24"/>
                <w:lang w:eastAsia="sl-SI"/>
              </w:rPr>
              <w:tab/>
            </w:r>
            <w:r w:rsidR="00836F37" w:rsidRPr="00966F6B">
              <w:rPr>
                <w:rStyle w:val="Hiperpovezava"/>
                <w:noProof/>
              </w:rPr>
              <w:t>Cilj politike 2: Bolj zelena, nizkoogljična Slovenija, ki je odporna in prehaja na gospodarstvo z ničelnim ogljičnim odtisom s spodbujanjem čistega in pravičnega energetskega prehoda, zelenih in modrih naložb, krožnega gospodarstva, blaženja in podnebnih sprememb in prilagajanje nanje ter preprečevanja in obvladovanja tveganj ter trajnostne mestne mobilnosti</w:t>
            </w:r>
            <w:r w:rsidR="00836F37">
              <w:rPr>
                <w:noProof/>
                <w:webHidden/>
              </w:rPr>
              <w:tab/>
            </w:r>
            <w:r w:rsidR="00836F37">
              <w:rPr>
                <w:noProof/>
                <w:webHidden/>
              </w:rPr>
              <w:fldChar w:fldCharType="begin"/>
            </w:r>
            <w:r w:rsidR="00836F37">
              <w:rPr>
                <w:noProof/>
                <w:webHidden/>
              </w:rPr>
              <w:instrText xml:space="preserve"> PAGEREF _Toc191383863 \h </w:instrText>
            </w:r>
            <w:r w:rsidR="00836F37">
              <w:rPr>
                <w:noProof/>
                <w:webHidden/>
              </w:rPr>
            </w:r>
            <w:r w:rsidR="00836F37">
              <w:rPr>
                <w:noProof/>
                <w:webHidden/>
              </w:rPr>
              <w:fldChar w:fldCharType="separate"/>
            </w:r>
            <w:r w:rsidR="000D68B5">
              <w:rPr>
                <w:noProof/>
                <w:webHidden/>
              </w:rPr>
              <w:t>40</w:t>
            </w:r>
            <w:r w:rsidR="00836F37">
              <w:rPr>
                <w:noProof/>
                <w:webHidden/>
              </w:rPr>
              <w:fldChar w:fldCharType="end"/>
            </w:r>
          </w:hyperlink>
        </w:p>
        <w:p w14:paraId="61A73CDA" w14:textId="430A8E5B" w:rsidR="00836F37" w:rsidRDefault="00BF3635">
          <w:pPr>
            <w:pStyle w:val="Kazalovsebine3"/>
            <w:rPr>
              <w:rFonts w:asciiTheme="minorHAnsi" w:eastAsiaTheme="minorEastAsia" w:hAnsiTheme="minorHAnsi"/>
              <w:noProof/>
              <w:sz w:val="24"/>
              <w:szCs w:val="24"/>
              <w:lang w:eastAsia="sl-SI"/>
            </w:rPr>
          </w:pPr>
          <w:hyperlink w:anchor="_Toc191383864" w:history="1">
            <w:r w:rsidR="00836F37" w:rsidRPr="00966F6B">
              <w:rPr>
                <w:rStyle w:val="Hiperpovezava"/>
                <w:noProof/>
              </w:rPr>
              <w:t>6.2.1</w:t>
            </w:r>
            <w:r w:rsidR="00836F37">
              <w:rPr>
                <w:rFonts w:asciiTheme="minorHAnsi" w:eastAsiaTheme="minorEastAsia" w:hAnsiTheme="minorHAnsi"/>
                <w:noProof/>
                <w:sz w:val="24"/>
                <w:szCs w:val="24"/>
                <w:lang w:eastAsia="sl-SI"/>
              </w:rPr>
              <w:tab/>
            </w:r>
            <w:r w:rsidR="00836F37" w:rsidRPr="00966F6B">
              <w:rPr>
                <w:rStyle w:val="Hiperpovezava"/>
                <w:noProof/>
              </w:rPr>
              <w:t>RSO 2.1 Spodbujanje energijske učinkovitosti in zmanjševanje emisij toplogrednih plinov (ESRR)</w:t>
            </w:r>
            <w:r w:rsidR="0018408C">
              <w:rPr>
                <w:rStyle w:val="Hiperpovezava"/>
                <w:noProof/>
              </w:rPr>
              <w:t>….</w:t>
            </w:r>
            <w:r w:rsidR="00836F37">
              <w:rPr>
                <w:noProof/>
                <w:webHidden/>
              </w:rPr>
              <w:tab/>
            </w:r>
            <w:r w:rsidR="00836F37">
              <w:rPr>
                <w:noProof/>
                <w:webHidden/>
              </w:rPr>
              <w:fldChar w:fldCharType="begin"/>
            </w:r>
            <w:r w:rsidR="00836F37">
              <w:rPr>
                <w:noProof/>
                <w:webHidden/>
              </w:rPr>
              <w:instrText xml:space="preserve"> PAGEREF _Toc191383864 \h </w:instrText>
            </w:r>
            <w:r w:rsidR="00836F37">
              <w:rPr>
                <w:noProof/>
                <w:webHidden/>
              </w:rPr>
            </w:r>
            <w:r w:rsidR="00836F37">
              <w:rPr>
                <w:noProof/>
                <w:webHidden/>
              </w:rPr>
              <w:fldChar w:fldCharType="separate"/>
            </w:r>
            <w:r w:rsidR="000D68B5">
              <w:rPr>
                <w:noProof/>
                <w:webHidden/>
              </w:rPr>
              <w:t>40</w:t>
            </w:r>
            <w:r w:rsidR="00836F37">
              <w:rPr>
                <w:noProof/>
                <w:webHidden/>
              </w:rPr>
              <w:fldChar w:fldCharType="end"/>
            </w:r>
          </w:hyperlink>
        </w:p>
        <w:p w14:paraId="67D64F89" w14:textId="2FE30535" w:rsidR="00836F37" w:rsidRDefault="00BF3635">
          <w:pPr>
            <w:pStyle w:val="Kazalovsebine3"/>
            <w:rPr>
              <w:rFonts w:asciiTheme="minorHAnsi" w:eastAsiaTheme="minorEastAsia" w:hAnsiTheme="minorHAnsi"/>
              <w:noProof/>
              <w:sz w:val="24"/>
              <w:szCs w:val="24"/>
              <w:lang w:eastAsia="sl-SI"/>
            </w:rPr>
          </w:pPr>
          <w:hyperlink w:anchor="_Toc191383865" w:history="1">
            <w:r w:rsidR="00836F37" w:rsidRPr="00966F6B">
              <w:rPr>
                <w:rStyle w:val="Hiperpovezava"/>
                <w:noProof/>
              </w:rPr>
              <w:t>6.2.2</w:t>
            </w:r>
            <w:r w:rsidR="00836F37">
              <w:rPr>
                <w:rFonts w:asciiTheme="minorHAnsi" w:eastAsiaTheme="minorEastAsia" w:hAnsiTheme="minorHAnsi"/>
                <w:noProof/>
                <w:sz w:val="24"/>
                <w:szCs w:val="24"/>
                <w:lang w:eastAsia="sl-SI"/>
              </w:rPr>
              <w:tab/>
            </w:r>
            <w:r w:rsidR="00836F37" w:rsidRPr="00966F6B">
              <w:rPr>
                <w:rStyle w:val="Hiperpovezava"/>
                <w:noProof/>
              </w:rPr>
              <w:t>RSO 2.2 Spodbujanje energije iz obnovljivih virov v skladu z Direktivo (EU) 2018/2001 o spodbujanju uporabe energije iz obnovljivih virov, vključno s trajnostnimi merili, določenimi v Direktivi</w:t>
            </w:r>
            <w:r w:rsidR="0018408C">
              <w:rPr>
                <w:rStyle w:val="Hiperpovezava"/>
                <w:noProof/>
              </w:rPr>
              <w:t>…</w:t>
            </w:r>
            <w:r w:rsidR="00836F37">
              <w:rPr>
                <w:noProof/>
                <w:webHidden/>
              </w:rPr>
              <w:tab/>
            </w:r>
            <w:r w:rsidR="00836F37">
              <w:rPr>
                <w:noProof/>
                <w:webHidden/>
              </w:rPr>
              <w:fldChar w:fldCharType="begin"/>
            </w:r>
            <w:r w:rsidR="00836F37">
              <w:rPr>
                <w:noProof/>
                <w:webHidden/>
              </w:rPr>
              <w:instrText xml:space="preserve"> PAGEREF _Toc191383865 \h </w:instrText>
            </w:r>
            <w:r w:rsidR="00836F37">
              <w:rPr>
                <w:noProof/>
                <w:webHidden/>
              </w:rPr>
            </w:r>
            <w:r w:rsidR="00836F37">
              <w:rPr>
                <w:noProof/>
                <w:webHidden/>
              </w:rPr>
              <w:fldChar w:fldCharType="separate"/>
            </w:r>
            <w:r w:rsidR="000D68B5">
              <w:rPr>
                <w:noProof/>
                <w:webHidden/>
              </w:rPr>
              <w:t>40</w:t>
            </w:r>
            <w:r w:rsidR="00836F37">
              <w:rPr>
                <w:noProof/>
                <w:webHidden/>
              </w:rPr>
              <w:fldChar w:fldCharType="end"/>
            </w:r>
          </w:hyperlink>
        </w:p>
        <w:p w14:paraId="23B61A88" w14:textId="44CC2158" w:rsidR="00836F37" w:rsidRDefault="00BF3635">
          <w:pPr>
            <w:pStyle w:val="Kazalovsebine3"/>
            <w:rPr>
              <w:rFonts w:asciiTheme="minorHAnsi" w:eastAsiaTheme="minorEastAsia" w:hAnsiTheme="minorHAnsi"/>
              <w:noProof/>
              <w:sz w:val="24"/>
              <w:szCs w:val="24"/>
              <w:lang w:eastAsia="sl-SI"/>
            </w:rPr>
          </w:pPr>
          <w:hyperlink w:anchor="_Toc191383866" w:history="1">
            <w:r w:rsidR="00836F37" w:rsidRPr="00966F6B">
              <w:rPr>
                <w:rStyle w:val="Hiperpovezava"/>
                <w:noProof/>
              </w:rPr>
              <w:t>6.2.3</w:t>
            </w:r>
            <w:r w:rsidR="00836F37">
              <w:rPr>
                <w:rFonts w:asciiTheme="minorHAnsi" w:eastAsiaTheme="minorEastAsia" w:hAnsiTheme="minorHAnsi"/>
                <w:noProof/>
                <w:sz w:val="24"/>
                <w:szCs w:val="24"/>
                <w:lang w:eastAsia="sl-SI"/>
              </w:rPr>
              <w:tab/>
            </w:r>
            <w:r w:rsidR="00836F37" w:rsidRPr="00966F6B">
              <w:rPr>
                <w:rStyle w:val="Hiperpovezava"/>
                <w:noProof/>
              </w:rPr>
              <w:t>RSO 2.3 Razvoj pametnih energetskih sistemov, omrežij in hrambe zunaj vseevropskega energetskega omrežja (TEN-E)</w:t>
            </w:r>
            <w:r w:rsidR="00836F37">
              <w:rPr>
                <w:noProof/>
                <w:webHidden/>
              </w:rPr>
              <w:tab/>
            </w:r>
            <w:r w:rsidR="00836F37">
              <w:rPr>
                <w:noProof/>
                <w:webHidden/>
              </w:rPr>
              <w:fldChar w:fldCharType="begin"/>
            </w:r>
            <w:r w:rsidR="00836F37">
              <w:rPr>
                <w:noProof/>
                <w:webHidden/>
              </w:rPr>
              <w:instrText xml:space="preserve"> PAGEREF _Toc191383866 \h </w:instrText>
            </w:r>
            <w:r w:rsidR="00836F37">
              <w:rPr>
                <w:noProof/>
                <w:webHidden/>
              </w:rPr>
            </w:r>
            <w:r w:rsidR="00836F37">
              <w:rPr>
                <w:noProof/>
                <w:webHidden/>
              </w:rPr>
              <w:fldChar w:fldCharType="separate"/>
            </w:r>
            <w:r w:rsidR="000D68B5">
              <w:rPr>
                <w:noProof/>
                <w:webHidden/>
              </w:rPr>
              <w:t>41</w:t>
            </w:r>
            <w:r w:rsidR="00836F37">
              <w:rPr>
                <w:noProof/>
                <w:webHidden/>
              </w:rPr>
              <w:fldChar w:fldCharType="end"/>
            </w:r>
          </w:hyperlink>
        </w:p>
        <w:p w14:paraId="1C248C21" w14:textId="075277A8" w:rsidR="00836F37" w:rsidRDefault="00BF3635">
          <w:pPr>
            <w:pStyle w:val="Kazalovsebine3"/>
            <w:rPr>
              <w:rFonts w:asciiTheme="minorHAnsi" w:eastAsiaTheme="minorEastAsia" w:hAnsiTheme="minorHAnsi"/>
              <w:noProof/>
              <w:sz w:val="24"/>
              <w:szCs w:val="24"/>
              <w:lang w:eastAsia="sl-SI"/>
            </w:rPr>
          </w:pPr>
          <w:hyperlink w:anchor="_Toc191383867" w:history="1">
            <w:r w:rsidR="00836F37" w:rsidRPr="00966F6B">
              <w:rPr>
                <w:rStyle w:val="Hiperpovezava"/>
                <w:noProof/>
              </w:rPr>
              <w:t>6.2.4</w:t>
            </w:r>
            <w:r w:rsidR="00836F37">
              <w:rPr>
                <w:rFonts w:asciiTheme="minorHAnsi" w:eastAsiaTheme="minorEastAsia" w:hAnsiTheme="minorHAnsi"/>
                <w:noProof/>
                <w:sz w:val="24"/>
                <w:szCs w:val="24"/>
                <w:lang w:eastAsia="sl-SI"/>
              </w:rPr>
              <w:tab/>
            </w:r>
            <w:r w:rsidR="00836F37" w:rsidRPr="00966F6B">
              <w:rPr>
                <w:rStyle w:val="Hiperpovezava"/>
                <w:noProof/>
              </w:rPr>
              <w:t>RSO 2.4 Spodbujanje prilagajanja podnebnim spremembam in preprečevanja tveganja nesreč ter odpornosti, ob upoštevanju ekosistemskih pristopov</w:t>
            </w:r>
            <w:r w:rsidR="00836F37">
              <w:rPr>
                <w:noProof/>
                <w:webHidden/>
              </w:rPr>
              <w:tab/>
            </w:r>
            <w:r w:rsidR="00836F37">
              <w:rPr>
                <w:noProof/>
                <w:webHidden/>
              </w:rPr>
              <w:fldChar w:fldCharType="begin"/>
            </w:r>
            <w:r w:rsidR="00836F37">
              <w:rPr>
                <w:noProof/>
                <w:webHidden/>
              </w:rPr>
              <w:instrText xml:space="preserve"> PAGEREF _Toc191383867 \h </w:instrText>
            </w:r>
            <w:r w:rsidR="00836F37">
              <w:rPr>
                <w:noProof/>
                <w:webHidden/>
              </w:rPr>
            </w:r>
            <w:r w:rsidR="00836F37">
              <w:rPr>
                <w:noProof/>
                <w:webHidden/>
              </w:rPr>
              <w:fldChar w:fldCharType="separate"/>
            </w:r>
            <w:r w:rsidR="000D68B5">
              <w:rPr>
                <w:noProof/>
                <w:webHidden/>
              </w:rPr>
              <w:t>41</w:t>
            </w:r>
            <w:r w:rsidR="00836F37">
              <w:rPr>
                <w:noProof/>
                <w:webHidden/>
              </w:rPr>
              <w:fldChar w:fldCharType="end"/>
            </w:r>
          </w:hyperlink>
        </w:p>
        <w:p w14:paraId="412094B9" w14:textId="6BE568E4" w:rsidR="00836F37" w:rsidRDefault="00BF3635">
          <w:pPr>
            <w:pStyle w:val="Kazalovsebine3"/>
            <w:rPr>
              <w:rFonts w:asciiTheme="minorHAnsi" w:eastAsiaTheme="minorEastAsia" w:hAnsiTheme="minorHAnsi"/>
              <w:noProof/>
              <w:sz w:val="24"/>
              <w:szCs w:val="24"/>
              <w:lang w:eastAsia="sl-SI"/>
            </w:rPr>
          </w:pPr>
          <w:hyperlink w:anchor="_Toc191383868" w:history="1">
            <w:r w:rsidR="00836F37" w:rsidRPr="00966F6B">
              <w:rPr>
                <w:rStyle w:val="Hiperpovezava"/>
                <w:noProof/>
              </w:rPr>
              <w:t>6.2.5</w:t>
            </w:r>
            <w:r w:rsidR="00836F37">
              <w:rPr>
                <w:rFonts w:asciiTheme="minorHAnsi" w:eastAsiaTheme="minorEastAsia" w:hAnsiTheme="minorHAnsi"/>
                <w:noProof/>
                <w:sz w:val="24"/>
                <w:szCs w:val="24"/>
                <w:lang w:eastAsia="sl-SI"/>
              </w:rPr>
              <w:tab/>
            </w:r>
            <w:r w:rsidR="00836F37" w:rsidRPr="00966F6B">
              <w:rPr>
                <w:rStyle w:val="Hiperpovezava"/>
                <w:noProof/>
              </w:rPr>
              <w:t>RSO 2.5</w:t>
            </w:r>
            <w:r w:rsidR="00836F37">
              <w:rPr>
                <w:noProof/>
                <w:webHidden/>
              </w:rPr>
              <w:tab/>
            </w:r>
            <w:r w:rsidR="00836F37">
              <w:rPr>
                <w:noProof/>
                <w:webHidden/>
              </w:rPr>
              <w:fldChar w:fldCharType="begin"/>
            </w:r>
            <w:r w:rsidR="00836F37">
              <w:rPr>
                <w:noProof/>
                <w:webHidden/>
              </w:rPr>
              <w:instrText xml:space="preserve"> PAGEREF _Toc191383868 \h </w:instrText>
            </w:r>
            <w:r w:rsidR="00836F37">
              <w:rPr>
                <w:noProof/>
                <w:webHidden/>
              </w:rPr>
            </w:r>
            <w:r w:rsidR="00836F37">
              <w:rPr>
                <w:noProof/>
                <w:webHidden/>
              </w:rPr>
              <w:fldChar w:fldCharType="separate"/>
            </w:r>
            <w:r w:rsidR="000D68B5">
              <w:rPr>
                <w:noProof/>
                <w:webHidden/>
              </w:rPr>
              <w:t>43</w:t>
            </w:r>
            <w:r w:rsidR="00836F37">
              <w:rPr>
                <w:noProof/>
                <w:webHidden/>
              </w:rPr>
              <w:fldChar w:fldCharType="end"/>
            </w:r>
          </w:hyperlink>
        </w:p>
        <w:p w14:paraId="19F642AB" w14:textId="342222F4" w:rsidR="00836F37" w:rsidRDefault="00BF3635">
          <w:pPr>
            <w:pStyle w:val="Kazalovsebine3"/>
            <w:rPr>
              <w:rFonts w:asciiTheme="minorHAnsi" w:eastAsiaTheme="minorEastAsia" w:hAnsiTheme="minorHAnsi"/>
              <w:noProof/>
              <w:sz w:val="24"/>
              <w:szCs w:val="24"/>
              <w:lang w:eastAsia="sl-SI"/>
            </w:rPr>
          </w:pPr>
          <w:hyperlink w:anchor="_Toc191383869" w:history="1">
            <w:r w:rsidR="00836F37" w:rsidRPr="00966F6B">
              <w:rPr>
                <w:rStyle w:val="Hiperpovezava"/>
                <w:noProof/>
              </w:rPr>
              <w:t>6.2.6</w:t>
            </w:r>
            <w:r w:rsidR="00836F37">
              <w:rPr>
                <w:rFonts w:asciiTheme="minorHAnsi" w:eastAsiaTheme="minorEastAsia" w:hAnsiTheme="minorHAnsi"/>
                <w:noProof/>
                <w:sz w:val="24"/>
                <w:szCs w:val="24"/>
                <w:lang w:eastAsia="sl-SI"/>
              </w:rPr>
              <w:tab/>
            </w:r>
            <w:r w:rsidR="00836F37" w:rsidRPr="00966F6B">
              <w:rPr>
                <w:rStyle w:val="Hiperpovezava"/>
                <w:noProof/>
              </w:rPr>
              <w:t>RSO 2.7 Izboljšanje varstva in ohranjanja narave ter biotske raznovrstnosti in zelene infrastrukture, tudi v mestnem okolju, in zmanjšanje vseh oblik onesnaževanja (ESRR)</w:t>
            </w:r>
            <w:r w:rsidR="00836F37">
              <w:rPr>
                <w:noProof/>
                <w:webHidden/>
              </w:rPr>
              <w:tab/>
            </w:r>
            <w:r w:rsidR="00836F37">
              <w:rPr>
                <w:noProof/>
                <w:webHidden/>
              </w:rPr>
              <w:fldChar w:fldCharType="begin"/>
            </w:r>
            <w:r w:rsidR="00836F37">
              <w:rPr>
                <w:noProof/>
                <w:webHidden/>
              </w:rPr>
              <w:instrText xml:space="preserve"> PAGEREF _Toc191383869 \h </w:instrText>
            </w:r>
            <w:r w:rsidR="00836F37">
              <w:rPr>
                <w:noProof/>
                <w:webHidden/>
              </w:rPr>
            </w:r>
            <w:r w:rsidR="00836F37">
              <w:rPr>
                <w:noProof/>
                <w:webHidden/>
              </w:rPr>
              <w:fldChar w:fldCharType="separate"/>
            </w:r>
            <w:r w:rsidR="000D68B5">
              <w:rPr>
                <w:noProof/>
                <w:webHidden/>
              </w:rPr>
              <w:t>44</w:t>
            </w:r>
            <w:r w:rsidR="00836F37">
              <w:rPr>
                <w:noProof/>
                <w:webHidden/>
              </w:rPr>
              <w:fldChar w:fldCharType="end"/>
            </w:r>
          </w:hyperlink>
        </w:p>
        <w:p w14:paraId="17685C36" w14:textId="7D5A7A21" w:rsidR="00836F37" w:rsidRDefault="00BF3635">
          <w:pPr>
            <w:pStyle w:val="Kazalovsebine2"/>
            <w:rPr>
              <w:rFonts w:asciiTheme="minorHAnsi" w:eastAsiaTheme="minorEastAsia" w:hAnsiTheme="minorHAnsi"/>
              <w:noProof/>
              <w:sz w:val="24"/>
              <w:szCs w:val="24"/>
              <w:lang w:eastAsia="sl-SI"/>
            </w:rPr>
          </w:pPr>
          <w:hyperlink w:anchor="_Toc191383870" w:history="1">
            <w:r w:rsidR="00836F37" w:rsidRPr="00966F6B">
              <w:rPr>
                <w:rStyle w:val="Hiperpovezava"/>
                <w:noProof/>
              </w:rPr>
              <w:t>6.3</w:t>
            </w:r>
            <w:r w:rsidR="00836F37">
              <w:rPr>
                <w:rFonts w:asciiTheme="minorHAnsi" w:eastAsiaTheme="minorEastAsia" w:hAnsiTheme="minorHAnsi"/>
                <w:noProof/>
                <w:sz w:val="24"/>
                <w:szCs w:val="24"/>
                <w:lang w:eastAsia="sl-SI"/>
              </w:rPr>
              <w:tab/>
            </w:r>
            <w:r w:rsidR="00836F37" w:rsidRPr="00966F6B">
              <w:rPr>
                <w:rStyle w:val="Hiperpovezava"/>
                <w:noProof/>
              </w:rPr>
              <w:t>Cilj politike 3: Bolj povezana Slovenija z izboljšanjem mobilnosti</w:t>
            </w:r>
            <w:r w:rsidR="00836F37">
              <w:rPr>
                <w:noProof/>
                <w:webHidden/>
              </w:rPr>
              <w:tab/>
            </w:r>
            <w:r w:rsidR="00836F37">
              <w:rPr>
                <w:noProof/>
                <w:webHidden/>
              </w:rPr>
              <w:fldChar w:fldCharType="begin"/>
            </w:r>
            <w:r w:rsidR="00836F37">
              <w:rPr>
                <w:noProof/>
                <w:webHidden/>
              </w:rPr>
              <w:instrText xml:space="preserve"> PAGEREF _Toc191383870 \h </w:instrText>
            </w:r>
            <w:r w:rsidR="00836F37">
              <w:rPr>
                <w:noProof/>
                <w:webHidden/>
              </w:rPr>
            </w:r>
            <w:r w:rsidR="00836F37">
              <w:rPr>
                <w:noProof/>
                <w:webHidden/>
              </w:rPr>
              <w:fldChar w:fldCharType="separate"/>
            </w:r>
            <w:r w:rsidR="000D68B5">
              <w:rPr>
                <w:noProof/>
                <w:webHidden/>
              </w:rPr>
              <w:t>44</w:t>
            </w:r>
            <w:r w:rsidR="00836F37">
              <w:rPr>
                <w:noProof/>
                <w:webHidden/>
              </w:rPr>
              <w:fldChar w:fldCharType="end"/>
            </w:r>
          </w:hyperlink>
        </w:p>
        <w:p w14:paraId="19A63F0A" w14:textId="513779B8" w:rsidR="00836F37" w:rsidRDefault="00BF3635">
          <w:pPr>
            <w:pStyle w:val="Kazalovsebine2"/>
            <w:rPr>
              <w:rFonts w:asciiTheme="minorHAnsi" w:eastAsiaTheme="minorEastAsia" w:hAnsiTheme="minorHAnsi"/>
              <w:noProof/>
              <w:sz w:val="24"/>
              <w:szCs w:val="24"/>
              <w:lang w:eastAsia="sl-SI"/>
            </w:rPr>
          </w:pPr>
          <w:hyperlink w:anchor="_Toc191383871" w:history="1">
            <w:r w:rsidR="00836F37" w:rsidRPr="00966F6B">
              <w:rPr>
                <w:rStyle w:val="Hiperpovezava"/>
                <w:noProof/>
              </w:rPr>
              <w:t>6.4</w:t>
            </w:r>
            <w:r w:rsidR="00836F37">
              <w:rPr>
                <w:rFonts w:asciiTheme="minorHAnsi" w:eastAsiaTheme="minorEastAsia" w:hAnsiTheme="minorHAnsi"/>
                <w:noProof/>
                <w:sz w:val="24"/>
                <w:szCs w:val="24"/>
                <w:lang w:eastAsia="sl-SI"/>
              </w:rPr>
              <w:tab/>
            </w:r>
            <w:r w:rsidR="00836F37" w:rsidRPr="00966F6B">
              <w:rPr>
                <w:rStyle w:val="Hiperpovezava"/>
                <w:noProof/>
              </w:rPr>
              <w:t>Cilj politike 4: Bolj socialna in vključujoča Slovenija za izvajanje evropskega stebra socialnih pravic</w:t>
            </w:r>
            <w:r w:rsidR="0018408C">
              <w:rPr>
                <w:rStyle w:val="Hiperpovezava"/>
                <w:noProof/>
              </w:rPr>
              <w:t>…</w:t>
            </w:r>
            <w:r w:rsidR="00836F37">
              <w:rPr>
                <w:noProof/>
                <w:webHidden/>
              </w:rPr>
              <w:tab/>
            </w:r>
            <w:r w:rsidR="00836F37">
              <w:rPr>
                <w:noProof/>
                <w:webHidden/>
              </w:rPr>
              <w:fldChar w:fldCharType="begin"/>
            </w:r>
            <w:r w:rsidR="00836F37">
              <w:rPr>
                <w:noProof/>
                <w:webHidden/>
              </w:rPr>
              <w:instrText xml:space="preserve"> PAGEREF _Toc191383871 \h </w:instrText>
            </w:r>
            <w:r w:rsidR="00836F37">
              <w:rPr>
                <w:noProof/>
                <w:webHidden/>
              </w:rPr>
            </w:r>
            <w:r w:rsidR="00836F37">
              <w:rPr>
                <w:noProof/>
                <w:webHidden/>
              </w:rPr>
              <w:fldChar w:fldCharType="separate"/>
            </w:r>
            <w:r w:rsidR="000D68B5">
              <w:rPr>
                <w:noProof/>
                <w:webHidden/>
              </w:rPr>
              <w:t>47</w:t>
            </w:r>
            <w:r w:rsidR="00836F37">
              <w:rPr>
                <w:noProof/>
                <w:webHidden/>
              </w:rPr>
              <w:fldChar w:fldCharType="end"/>
            </w:r>
          </w:hyperlink>
        </w:p>
        <w:p w14:paraId="19CD17AF" w14:textId="6957DB56" w:rsidR="00836F37" w:rsidRDefault="00BF3635">
          <w:pPr>
            <w:pStyle w:val="Kazalovsebine3"/>
            <w:rPr>
              <w:rFonts w:asciiTheme="minorHAnsi" w:eastAsiaTheme="minorEastAsia" w:hAnsiTheme="minorHAnsi"/>
              <w:noProof/>
              <w:sz w:val="24"/>
              <w:szCs w:val="24"/>
              <w:lang w:eastAsia="sl-SI"/>
            </w:rPr>
          </w:pPr>
          <w:hyperlink w:anchor="_Toc191383872" w:history="1">
            <w:r w:rsidR="00836F37" w:rsidRPr="00966F6B">
              <w:rPr>
                <w:rStyle w:val="Hiperpovezava"/>
                <w:noProof/>
              </w:rPr>
              <w:t>6.4.1</w:t>
            </w:r>
            <w:r w:rsidR="00836F37">
              <w:rPr>
                <w:rFonts w:asciiTheme="minorHAnsi" w:eastAsiaTheme="minorEastAsia" w:hAnsiTheme="minorHAnsi"/>
                <w:noProof/>
                <w:sz w:val="24"/>
                <w:szCs w:val="24"/>
                <w:lang w:eastAsia="sl-SI"/>
              </w:rPr>
              <w:tab/>
            </w:r>
            <w:r w:rsidR="00836F37" w:rsidRPr="00966F6B">
              <w:rPr>
                <w:rStyle w:val="Hiperpovezava"/>
                <w:noProof/>
              </w:rPr>
              <w:t>RSO4.2 Doslednejše zagotavljanje enakega dostopa do vključujočih in kakovostnih storitev na področju izobraževanja, usposabljanja in vseživljenjskega učenja z razvojem dostopne infrastrukture, tudi s krepitvijo odpornosti za izobraževanje in usposabljanj na daljavo in prek spleta (ESRR)</w:t>
            </w:r>
            <w:r w:rsidR="0018408C">
              <w:rPr>
                <w:rStyle w:val="Hiperpovezava"/>
                <w:noProof/>
              </w:rPr>
              <w:t>…</w:t>
            </w:r>
            <w:r w:rsidR="00836F37">
              <w:rPr>
                <w:noProof/>
                <w:webHidden/>
              </w:rPr>
              <w:tab/>
            </w:r>
            <w:r w:rsidR="00836F37">
              <w:rPr>
                <w:noProof/>
                <w:webHidden/>
              </w:rPr>
              <w:fldChar w:fldCharType="begin"/>
            </w:r>
            <w:r w:rsidR="00836F37">
              <w:rPr>
                <w:noProof/>
                <w:webHidden/>
              </w:rPr>
              <w:instrText xml:space="preserve"> PAGEREF _Toc191383872 \h </w:instrText>
            </w:r>
            <w:r w:rsidR="00836F37">
              <w:rPr>
                <w:noProof/>
                <w:webHidden/>
              </w:rPr>
            </w:r>
            <w:r w:rsidR="00836F37">
              <w:rPr>
                <w:noProof/>
                <w:webHidden/>
              </w:rPr>
              <w:fldChar w:fldCharType="separate"/>
            </w:r>
            <w:r w:rsidR="000D68B5">
              <w:rPr>
                <w:noProof/>
                <w:webHidden/>
              </w:rPr>
              <w:t>47</w:t>
            </w:r>
            <w:r w:rsidR="00836F37">
              <w:rPr>
                <w:noProof/>
                <w:webHidden/>
              </w:rPr>
              <w:fldChar w:fldCharType="end"/>
            </w:r>
          </w:hyperlink>
        </w:p>
        <w:p w14:paraId="6C125F20" w14:textId="1672CFE2" w:rsidR="00836F37" w:rsidRDefault="00BF3635">
          <w:pPr>
            <w:pStyle w:val="Kazalovsebine3"/>
            <w:rPr>
              <w:rFonts w:asciiTheme="minorHAnsi" w:eastAsiaTheme="minorEastAsia" w:hAnsiTheme="minorHAnsi"/>
              <w:noProof/>
              <w:sz w:val="24"/>
              <w:szCs w:val="24"/>
              <w:lang w:eastAsia="sl-SI"/>
            </w:rPr>
          </w:pPr>
          <w:hyperlink w:anchor="_Toc191383873" w:history="1">
            <w:r w:rsidR="00836F37" w:rsidRPr="00966F6B">
              <w:rPr>
                <w:rStyle w:val="Hiperpovezava"/>
                <w:noProof/>
              </w:rPr>
              <w:t>6.4.2</w:t>
            </w:r>
            <w:r w:rsidR="00836F37">
              <w:rPr>
                <w:rFonts w:asciiTheme="minorHAnsi" w:eastAsiaTheme="minorEastAsia" w:hAnsiTheme="minorHAnsi"/>
                <w:noProof/>
                <w:sz w:val="24"/>
                <w:szCs w:val="24"/>
                <w:lang w:eastAsia="sl-SI"/>
              </w:rPr>
              <w:tab/>
            </w:r>
            <w:r w:rsidR="00836F37" w:rsidRPr="00966F6B">
              <w:rPr>
                <w:rStyle w:val="Hiperpovezava"/>
                <w:noProof/>
              </w:rPr>
              <w:t>ESO4.1. Izboljšanje dostopa do zaposlitve in aktivacijski ukrepi za vse iskalce zaposlitve, zlasti mlade, predvsem v okviru izvajanja jamstva za mlade, dolgotrajno brezposelne in prikrajšane skupine na trgu dela, in neaktivne osebe, kot tudi s spodbujanjm samozaposlovanja in socialnega gospodarstva (ESS+)</w:t>
            </w:r>
            <w:r w:rsidR="00836F37">
              <w:rPr>
                <w:noProof/>
                <w:webHidden/>
              </w:rPr>
              <w:tab/>
            </w:r>
            <w:r w:rsidR="00836F37">
              <w:rPr>
                <w:noProof/>
                <w:webHidden/>
              </w:rPr>
              <w:fldChar w:fldCharType="begin"/>
            </w:r>
            <w:r w:rsidR="00836F37">
              <w:rPr>
                <w:noProof/>
                <w:webHidden/>
              </w:rPr>
              <w:instrText xml:space="preserve"> PAGEREF _Toc191383873 \h </w:instrText>
            </w:r>
            <w:r w:rsidR="00836F37">
              <w:rPr>
                <w:noProof/>
                <w:webHidden/>
              </w:rPr>
            </w:r>
            <w:r w:rsidR="00836F37">
              <w:rPr>
                <w:noProof/>
                <w:webHidden/>
              </w:rPr>
              <w:fldChar w:fldCharType="separate"/>
            </w:r>
            <w:r w:rsidR="000D68B5">
              <w:rPr>
                <w:noProof/>
                <w:webHidden/>
              </w:rPr>
              <w:t>48</w:t>
            </w:r>
            <w:r w:rsidR="00836F37">
              <w:rPr>
                <w:noProof/>
                <w:webHidden/>
              </w:rPr>
              <w:fldChar w:fldCharType="end"/>
            </w:r>
          </w:hyperlink>
        </w:p>
        <w:p w14:paraId="17D84491" w14:textId="4F84FD1C" w:rsidR="00836F37" w:rsidRDefault="00BF3635">
          <w:pPr>
            <w:pStyle w:val="Kazalovsebine3"/>
            <w:rPr>
              <w:rFonts w:asciiTheme="minorHAnsi" w:eastAsiaTheme="minorEastAsia" w:hAnsiTheme="minorHAnsi"/>
              <w:noProof/>
              <w:sz w:val="24"/>
              <w:szCs w:val="24"/>
              <w:lang w:eastAsia="sl-SI"/>
            </w:rPr>
          </w:pPr>
          <w:hyperlink w:anchor="_Toc191383874" w:history="1">
            <w:r w:rsidR="00836F37" w:rsidRPr="00966F6B">
              <w:rPr>
                <w:rStyle w:val="Hiperpovezava"/>
                <w:noProof/>
              </w:rPr>
              <w:t>6.4.3</w:t>
            </w:r>
            <w:r w:rsidR="00836F37">
              <w:rPr>
                <w:rFonts w:asciiTheme="minorHAnsi" w:eastAsiaTheme="minorEastAsia" w:hAnsiTheme="minorHAnsi"/>
                <w:noProof/>
                <w:sz w:val="24"/>
                <w:szCs w:val="24"/>
                <w:lang w:eastAsia="sl-SI"/>
              </w:rPr>
              <w:tab/>
            </w:r>
            <w:r w:rsidR="00836F37" w:rsidRPr="00966F6B">
              <w:rPr>
                <w:rStyle w:val="Hiperpovezava"/>
                <w:noProof/>
              </w:rPr>
              <w:t>ESO4.2. Posodabljanje institucij in služb trga dela za oceno in predvidevanje potreb po veščinah ter zagotavljanje pravočasne in prilagojene pomoči in podpore pri usklajevanju ponudbe in povpraševanja na trgu dela, prehodih in mobilnosti (ESS+)</w:t>
            </w:r>
            <w:r w:rsidR="00836F37">
              <w:rPr>
                <w:noProof/>
                <w:webHidden/>
              </w:rPr>
              <w:tab/>
            </w:r>
            <w:r w:rsidR="00836F37">
              <w:rPr>
                <w:noProof/>
                <w:webHidden/>
              </w:rPr>
              <w:fldChar w:fldCharType="begin"/>
            </w:r>
            <w:r w:rsidR="00836F37">
              <w:rPr>
                <w:noProof/>
                <w:webHidden/>
              </w:rPr>
              <w:instrText xml:space="preserve"> PAGEREF _Toc191383874 \h </w:instrText>
            </w:r>
            <w:r w:rsidR="00836F37">
              <w:rPr>
                <w:noProof/>
                <w:webHidden/>
              </w:rPr>
            </w:r>
            <w:r w:rsidR="00836F37">
              <w:rPr>
                <w:noProof/>
                <w:webHidden/>
              </w:rPr>
              <w:fldChar w:fldCharType="separate"/>
            </w:r>
            <w:r w:rsidR="000D68B5">
              <w:rPr>
                <w:noProof/>
                <w:webHidden/>
              </w:rPr>
              <w:t>49</w:t>
            </w:r>
            <w:r w:rsidR="00836F37">
              <w:rPr>
                <w:noProof/>
                <w:webHidden/>
              </w:rPr>
              <w:fldChar w:fldCharType="end"/>
            </w:r>
          </w:hyperlink>
        </w:p>
        <w:p w14:paraId="5ECB1E8E" w14:textId="4C138D40" w:rsidR="00836F37" w:rsidRDefault="00BF3635">
          <w:pPr>
            <w:pStyle w:val="Kazalovsebine3"/>
            <w:rPr>
              <w:rFonts w:asciiTheme="minorHAnsi" w:eastAsiaTheme="minorEastAsia" w:hAnsiTheme="minorHAnsi"/>
              <w:noProof/>
              <w:sz w:val="24"/>
              <w:szCs w:val="24"/>
              <w:lang w:eastAsia="sl-SI"/>
            </w:rPr>
          </w:pPr>
          <w:hyperlink w:anchor="_Toc191383875" w:history="1">
            <w:r w:rsidR="00836F37" w:rsidRPr="00966F6B">
              <w:rPr>
                <w:rStyle w:val="Hiperpovezava"/>
                <w:noProof/>
              </w:rPr>
              <w:t>6.4.4</w:t>
            </w:r>
            <w:r w:rsidR="00836F37">
              <w:rPr>
                <w:rFonts w:asciiTheme="minorHAnsi" w:eastAsiaTheme="minorEastAsia" w:hAnsiTheme="minorHAnsi"/>
                <w:noProof/>
                <w:sz w:val="24"/>
                <w:szCs w:val="24"/>
                <w:lang w:eastAsia="sl-SI"/>
              </w:rPr>
              <w:tab/>
            </w:r>
            <w:r w:rsidR="00836F37" w:rsidRPr="00966F6B">
              <w:rPr>
                <w:rStyle w:val="Hiperpovezava"/>
                <w:noProof/>
              </w:rPr>
              <w:t>ESO4.4. Spodbujanje prilagajanja delavcev, podjetij in podjetnikov na spremembe, aktivnega in zdravega staranja ter zdravega in dobro prilagojenega delovnega okolja, ki obravnava tveganja za zdravje (ESS+)</w:t>
            </w:r>
            <w:r w:rsidR="00836F37">
              <w:rPr>
                <w:noProof/>
                <w:webHidden/>
              </w:rPr>
              <w:tab/>
            </w:r>
            <w:r w:rsidR="00836F37">
              <w:rPr>
                <w:noProof/>
                <w:webHidden/>
              </w:rPr>
              <w:fldChar w:fldCharType="begin"/>
            </w:r>
            <w:r w:rsidR="00836F37">
              <w:rPr>
                <w:noProof/>
                <w:webHidden/>
              </w:rPr>
              <w:instrText xml:space="preserve"> PAGEREF _Toc191383875 \h </w:instrText>
            </w:r>
            <w:r w:rsidR="00836F37">
              <w:rPr>
                <w:noProof/>
                <w:webHidden/>
              </w:rPr>
            </w:r>
            <w:r w:rsidR="00836F37">
              <w:rPr>
                <w:noProof/>
                <w:webHidden/>
              </w:rPr>
              <w:fldChar w:fldCharType="separate"/>
            </w:r>
            <w:r w:rsidR="000D68B5">
              <w:rPr>
                <w:noProof/>
                <w:webHidden/>
              </w:rPr>
              <w:t>49</w:t>
            </w:r>
            <w:r w:rsidR="00836F37">
              <w:rPr>
                <w:noProof/>
                <w:webHidden/>
              </w:rPr>
              <w:fldChar w:fldCharType="end"/>
            </w:r>
          </w:hyperlink>
        </w:p>
        <w:p w14:paraId="31600A0C" w14:textId="35FEDD7F" w:rsidR="00836F37" w:rsidRDefault="00BF3635">
          <w:pPr>
            <w:pStyle w:val="Kazalovsebine3"/>
            <w:rPr>
              <w:rFonts w:asciiTheme="minorHAnsi" w:eastAsiaTheme="minorEastAsia" w:hAnsiTheme="minorHAnsi"/>
              <w:noProof/>
              <w:sz w:val="24"/>
              <w:szCs w:val="24"/>
              <w:lang w:eastAsia="sl-SI"/>
            </w:rPr>
          </w:pPr>
          <w:hyperlink w:anchor="_Toc191383876" w:history="1">
            <w:r w:rsidR="00836F37" w:rsidRPr="00966F6B">
              <w:rPr>
                <w:rStyle w:val="Hiperpovezava"/>
                <w:noProof/>
              </w:rPr>
              <w:t>6.4.5</w:t>
            </w:r>
            <w:r w:rsidR="00836F37">
              <w:rPr>
                <w:rFonts w:asciiTheme="minorHAnsi" w:eastAsiaTheme="minorEastAsia" w:hAnsiTheme="minorHAnsi"/>
                <w:noProof/>
                <w:sz w:val="24"/>
                <w:szCs w:val="24"/>
                <w:lang w:eastAsia="sl-SI"/>
              </w:rPr>
              <w:tab/>
            </w:r>
            <w:r w:rsidR="00836F37" w:rsidRPr="00966F6B">
              <w:rPr>
                <w:rStyle w:val="Hiperpovezava"/>
                <w:noProof/>
              </w:rPr>
              <w:t>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r w:rsidR="00836F37">
              <w:rPr>
                <w:noProof/>
                <w:webHidden/>
              </w:rPr>
              <w:tab/>
            </w:r>
            <w:r w:rsidR="00836F37">
              <w:rPr>
                <w:noProof/>
                <w:webHidden/>
              </w:rPr>
              <w:fldChar w:fldCharType="begin"/>
            </w:r>
            <w:r w:rsidR="00836F37">
              <w:rPr>
                <w:noProof/>
                <w:webHidden/>
              </w:rPr>
              <w:instrText xml:space="preserve"> PAGEREF _Toc191383876 \h </w:instrText>
            </w:r>
            <w:r w:rsidR="00836F37">
              <w:rPr>
                <w:noProof/>
                <w:webHidden/>
              </w:rPr>
            </w:r>
            <w:r w:rsidR="00836F37">
              <w:rPr>
                <w:noProof/>
                <w:webHidden/>
              </w:rPr>
              <w:fldChar w:fldCharType="separate"/>
            </w:r>
            <w:r w:rsidR="000D68B5">
              <w:rPr>
                <w:noProof/>
                <w:webHidden/>
              </w:rPr>
              <w:t>51</w:t>
            </w:r>
            <w:r w:rsidR="00836F37">
              <w:rPr>
                <w:noProof/>
                <w:webHidden/>
              </w:rPr>
              <w:fldChar w:fldCharType="end"/>
            </w:r>
          </w:hyperlink>
        </w:p>
        <w:p w14:paraId="4C6E4DBE" w14:textId="723221AB" w:rsidR="00836F37" w:rsidRDefault="00BF3635">
          <w:pPr>
            <w:pStyle w:val="Kazalovsebine3"/>
            <w:rPr>
              <w:rFonts w:asciiTheme="minorHAnsi" w:eastAsiaTheme="minorEastAsia" w:hAnsiTheme="minorHAnsi"/>
              <w:noProof/>
              <w:sz w:val="24"/>
              <w:szCs w:val="24"/>
              <w:lang w:eastAsia="sl-SI"/>
            </w:rPr>
          </w:pPr>
          <w:hyperlink w:anchor="_Toc191383877" w:history="1">
            <w:r w:rsidR="00836F37" w:rsidRPr="00966F6B">
              <w:rPr>
                <w:rStyle w:val="Hiperpovezava"/>
                <w:noProof/>
              </w:rPr>
              <w:t>6.4.6</w:t>
            </w:r>
            <w:r w:rsidR="00836F37">
              <w:rPr>
                <w:rFonts w:asciiTheme="minorHAnsi" w:eastAsiaTheme="minorEastAsia" w:hAnsiTheme="minorHAnsi"/>
                <w:noProof/>
                <w:sz w:val="24"/>
                <w:szCs w:val="24"/>
                <w:lang w:eastAsia="sl-SI"/>
              </w:rPr>
              <w:tab/>
            </w:r>
            <w:r w:rsidR="00836F37" w:rsidRPr="00966F6B">
              <w:rPr>
                <w:rStyle w:val="Hiperpovezava"/>
                <w:noProof/>
              </w:rPr>
              <w:t>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 (ESS+)</w:t>
            </w:r>
            <w:r w:rsidR="00836F37">
              <w:rPr>
                <w:noProof/>
                <w:webHidden/>
              </w:rPr>
              <w:tab/>
            </w:r>
            <w:r w:rsidR="00836F37">
              <w:rPr>
                <w:noProof/>
                <w:webHidden/>
              </w:rPr>
              <w:fldChar w:fldCharType="begin"/>
            </w:r>
            <w:r w:rsidR="00836F37">
              <w:rPr>
                <w:noProof/>
                <w:webHidden/>
              </w:rPr>
              <w:instrText xml:space="preserve"> PAGEREF _Toc191383877 \h </w:instrText>
            </w:r>
            <w:r w:rsidR="00836F37">
              <w:rPr>
                <w:noProof/>
                <w:webHidden/>
              </w:rPr>
            </w:r>
            <w:r w:rsidR="00836F37">
              <w:rPr>
                <w:noProof/>
                <w:webHidden/>
              </w:rPr>
              <w:fldChar w:fldCharType="separate"/>
            </w:r>
            <w:r w:rsidR="000D68B5">
              <w:rPr>
                <w:noProof/>
                <w:webHidden/>
              </w:rPr>
              <w:t>53</w:t>
            </w:r>
            <w:r w:rsidR="00836F37">
              <w:rPr>
                <w:noProof/>
                <w:webHidden/>
              </w:rPr>
              <w:fldChar w:fldCharType="end"/>
            </w:r>
          </w:hyperlink>
        </w:p>
        <w:p w14:paraId="3EA954A1" w14:textId="08129044" w:rsidR="00836F37" w:rsidRDefault="00BF3635">
          <w:pPr>
            <w:pStyle w:val="Kazalovsebine3"/>
            <w:rPr>
              <w:rFonts w:asciiTheme="minorHAnsi" w:eastAsiaTheme="minorEastAsia" w:hAnsiTheme="minorHAnsi"/>
              <w:noProof/>
              <w:sz w:val="24"/>
              <w:szCs w:val="24"/>
              <w:lang w:eastAsia="sl-SI"/>
            </w:rPr>
          </w:pPr>
          <w:hyperlink w:anchor="_Toc191383878" w:history="1">
            <w:r w:rsidR="00836F37" w:rsidRPr="00966F6B">
              <w:rPr>
                <w:rStyle w:val="Hiperpovezava"/>
                <w:noProof/>
              </w:rPr>
              <w:t>6.4.7</w:t>
            </w:r>
            <w:r w:rsidR="00836F37">
              <w:rPr>
                <w:rFonts w:asciiTheme="minorHAnsi" w:eastAsiaTheme="minorEastAsia" w:hAnsiTheme="minorHAnsi"/>
                <w:noProof/>
                <w:sz w:val="24"/>
                <w:szCs w:val="24"/>
                <w:lang w:eastAsia="sl-SI"/>
              </w:rPr>
              <w:tab/>
            </w:r>
            <w:r w:rsidR="00836F37" w:rsidRPr="00966F6B">
              <w:rPr>
                <w:rStyle w:val="Hiperpovezava"/>
                <w:noProof/>
              </w:rPr>
              <w:t>ESO4.8. Pospeševanje dejavnega vključevanja za spodbujanje enakih možnosti, nediskriminacije in aktivne udeležbe ter povečevanje zaposljivosti, zlasti za prikrajšane skupine (ESS+)</w:t>
            </w:r>
            <w:r w:rsidR="0018408C">
              <w:rPr>
                <w:rStyle w:val="Hiperpovezava"/>
                <w:noProof/>
              </w:rPr>
              <w:t>….</w:t>
            </w:r>
            <w:r w:rsidR="00836F37">
              <w:rPr>
                <w:noProof/>
                <w:webHidden/>
              </w:rPr>
              <w:tab/>
            </w:r>
            <w:r w:rsidR="00836F37">
              <w:rPr>
                <w:noProof/>
                <w:webHidden/>
              </w:rPr>
              <w:fldChar w:fldCharType="begin"/>
            </w:r>
            <w:r w:rsidR="00836F37">
              <w:rPr>
                <w:noProof/>
                <w:webHidden/>
              </w:rPr>
              <w:instrText xml:space="preserve"> PAGEREF _Toc191383878 \h </w:instrText>
            </w:r>
            <w:r w:rsidR="00836F37">
              <w:rPr>
                <w:noProof/>
                <w:webHidden/>
              </w:rPr>
            </w:r>
            <w:r w:rsidR="00836F37">
              <w:rPr>
                <w:noProof/>
                <w:webHidden/>
              </w:rPr>
              <w:fldChar w:fldCharType="separate"/>
            </w:r>
            <w:r w:rsidR="000D68B5">
              <w:rPr>
                <w:noProof/>
                <w:webHidden/>
              </w:rPr>
              <w:t>55</w:t>
            </w:r>
            <w:r w:rsidR="00836F37">
              <w:rPr>
                <w:noProof/>
                <w:webHidden/>
              </w:rPr>
              <w:fldChar w:fldCharType="end"/>
            </w:r>
          </w:hyperlink>
        </w:p>
        <w:p w14:paraId="01207FD4" w14:textId="39CFAAED" w:rsidR="00836F37" w:rsidRDefault="00BF3635">
          <w:pPr>
            <w:pStyle w:val="Kazalovsebine3"/>
            <w:rPr>
              <w:rFonts w:asciiTheme="minorHAnsi" w:eastAsiaTheme="minorEastAsia" w:hAnsiTheme="minorHAnsi"/>
              <w:noProof/>
              <w:sz w:val="24"/>
              <w:szCs w:val="24"/>
              <w:lang w:eastAsia="sl-SI"/>
            </w:rPr>
          </w:pPr>
          <w:hyperlink w:anchor="_Toc191383879" w:history="1">
            <w:r w:rsidR="00836F37" w:rsidRPr="00966F6B">
              <w:rPr>
                <w:rStyle w:val="Hiperpovezava"/>
                <w:noProof/>
              </w:rPr>
              <w:t>6.4.8</w:t>
            </w:r>
            <w:r w:rsidR="00836F37">
              <w:rPr>
                <w:rFonts w:asciiTheme="minorHAnsi" w:eastAsiaTheme="minorEastAsia" w:hAnsiTheme="minorHAnsi"/>
                <w:noProof/>
                <w:sz w:val="24"/>
                <w:szCs w:val="24"/>
                <w:lang w:eastAsia="sl-SI"/>
              </w:rPr>
              <w:tab/>
            </w:r>
            <w:r w:rsidR="00836F37" w:rsidRPr="00966F6B">
              <w:rPr>
                <w:rStyle w:val="Hiperpovezava"/>
                <w:noProof/>
              </w:rPr>
              <w:t>ESO4.11. Krepitev enakopravnega in pravočasnega dostopa do kakovostnih, trajnostnih in cenovno ugodnih storitev, vključno s storitvami, ki spodbujajo dostop do stanovanj, in storitvami oskrbe, usmerjene v posameznika, vključno z zdravstveno oskrbo; posodbitev sistemov socialne zaščite, vključno s spodbujanjem dostopa do socialne zaščite, s posebnim poudarkom na otrocih in prikrajšanih skupinah; izboljšanje dostopnosti, tudi za invalide, učinkovitosti in odpornosti zdravstvenih sistemov in storitev dolgotrajne oskrbe (ESS+)</w:t>
            </w:r>
            <w:r w:rsidR="00836F37">
              <w:rPr>
                <w:noProof/>
                <w:webHidden/>
              </w:rPr>
              <w:tab/>
            </w:r>
            <w:r w:rsidR="00836F37">
              <w:rPr>
                <w:noProof/>
                <w:webHidden/>
              </w:rPr>
              <w:fldChar w:fldCharType="begin"/>
            </w:r>
            <w:r w:rsidR="00836F37">
              <w:rPr>
                <w:noProof/>
                <w:webHidden/>
              </w:rPr>
              <w:instrText xml:space="preserve"> PAGEREF _Toc191383879 \h </w:instrText>
            </w:r>
            <w:r w:rsidR="00836F37">
              <w:rPr>
                <w:noProof/>
                <w:webHidden/>
              </w:rPr>
            </w:r>
            <w:r w:rsidR="00836F37">
              <w:rPr>
                <w:noProof/>
                <w:webHidden/>
              </w:rPr>
              <w:fldChar w:fldCharType="separate"/>
            </w:r>
            <w:r w:rsidR="000D68B5">
              <w:rPr>
                <w:noProof/>
                <w:webHidden/>
              </w:rPr>
              <w:t>55</w:t>
            </w:r>
            <w:r w:rsidR="00836F37">
              <w:rPr>
                <w:noProof/>
                <w:webHidden/>
              </w:rPr>
              <w:fldChar w:fldCharType="end"/>
            </w:r>
          </w:hyperlink>
        </w:p>
        <w:p w14:paraId="56D4AB9A" w14:textId="4BA0BA5E" w:rsidR="00836F37" w:rsidRDefault="00BF3635">
          <w:pPr>
            <w:pStyle w:val="Kazalovsebine3"/>
            <w:rPr>
              <w:rFonts w:asciiTheme="minorHAnsi" w:eastAsiaTheme="minorEastAsia" w:hAnsiTheme="minorHAnsi"/>
              <w:noProof/>
              <w:sz w:val="24"/>
              <w:szCs w:val="24"/>
              <w:lang w:eastAsia="sl-SI"/>
            </w:rPr>
          </w:pPr>
          <w:hyperlink w:anchor="_Toc191383880" w:history="1">
            <w:r w:rsidR="00836F37" w:rsidRPr="00966F6B">
              <w:rPr>
                <w:rStyle w:val="Hiperpovezava"/>
                <w:noProof/>
              </w:rPr>
              <w:t>6.4.9</w:t>
            </w:r>
            <w:r w:rsidR="00836F37">
              <w:rPr>
                <w:rFonts w:asciiTheme="minorHAnsi" w:eastAsiaTheme="minorEastAsia" w:hAnsiTheme="minorHAnsi"/>
                <w:noProof/>
                <w:sz w:val="24"/>
                <w:szCs w:val="24"/>
                <w:lang w:eastAsia="sl-SI"/>
              </w:rPr>
              <w:tab/>
            </w:r>
            <w:r w:rsidR="00836F37" w:rsidRPr="00966F6B">
              <w:rPr>
                <w:rStyle w:val="Hiperpovezava"/>
                <w:noProof/>
              </w:rPr>
              <w:t>ESO4.12. Spodbujanje socialnega vključevanja oseb, izpostavljenih tveganju revščine ali socialni izključenosti, vključno z najbolj ogroženimi osebami in otroki (ESS+)</w:t>
            </w:r>
            <w:r w:rsidR="00836F37">
              <w:rPr>
                <w:noProof/>
                <w:webHidden/>
              </w:rPr>
              <w:tab/>
            </w:r>
            <w:r w:rsidR="00836F37">
              <w:rPr>
                <w:noProof/>
                <w:webHidden/>
              </w:rPr>
              <w:fldChar w:fldCharType="begin"/>
            </w:r>
            <w:r w:rsidR="00836F37">
              <w:rPr>
                <w:noProof/>
                <w:webHidden/>
              </w:rPr>
              <w:instrText xml:space="preserve"> PAGEREF _Toc191383880 \h </w:instrText>
            </w:r>
            <w:r w:rsidR="00836F37">
              <w:rPr>
                <w:noProof/>
                <w:webHidden/>
              </w:rPr>
            </w:r>
            <w:r w:rsidR="00836F37">
              <w:rPr>
                <w:noProof/>
                <w:webHidden/>
              </w:rPr>
              <w:fldChar w:fldCharType="separate"/>
            </w:r>
            <w:r w:rsidR="000D68B5">
              <w:rPr>
                <w:noProof/>
                <w:webHidden/>
              </w:rPr>
              <w:t>56</w:t>
            </w:r>
            <w:r w:rsidR="00836F37">
              <w:rPr>
                <w:noProof/>
                <w:webHidden/>
              </w:rPr>
              <w:fldChar w:fldCharType="end"/>
            </w:r>
          </w:hyperlink>
        </w:p>
        <w:p w14:paraId="37C806A4" w14:textId="5CF287F9" w:rsidR="00836F37" w:rsidRDefault="00BF3635">
          <w:pPr>
            <w:pStyle w:val="Kazalovsebine2"/>
            <w:rPr>
              <w:rFonts w:asciiTheme="minorHAnsi" w:eastAsiaTheme="minorEastAsia" w:hAnsiTheme="minorHAnsi"/>
              <w:noProof/>
              <w:sz w:val="24"/>
              <w:szCs w:val="24"/>
              <w:lang w:eastAsia="sl-SI"/>
            </w:rPr>
          </w:pPr>
          <w:hyperlink w:anchor="_Toc191383881" w:history="1">
            <w:r w:rsidR="00836F37" w:rsidRPr="00966F6B">
              <w:rPr>
                <w:rStyle w:val="Hiperpovezava"/>
                <w:noProof/>
              </w:rPr>
              <w:t>6.5</w:t>
            </w:r>
            <w:r w:rsidR="00836F37">
              <w:rPr>
                <w:rFonts w:asciiTheme="minorHAnsi" w:eastAsiaTheme="minorEastAsia" w:hAnsiTheme="minorHAnsi"/>
                <w:noProof/>
                <w:sz w:val="24"/>
                <w:szCs w:val="24"/>
                <w:lang w:eastAsia="sl-SI"/>
              </w:rPr>
              <w:tab/>
            </w:r>
            <w:r w:rsidR="00836F37" w:rsidRPr="00966F6B">
              <w:rPr>
                <w:rStyle w:val="Hiperpovezava"/>
                <w:noProof/>
              </w:rPr>
              <w:t>Cilji politike 6: SPP Specifični cilj Sklada za pravični prehod: Slovenija za pravični prehod</w:t>
            </w:r>
            <w:r w:rsidR="00836F37">
              <w:rPr>
                <w:noProof/>
                <w:webHidden/>
              </w:rPr>
              <w:tab/>
            </w:r>
            <w:r w:rsidR="00836F37">
              <w:rPr>
                <w:noProof/>
                <w:webHidden/>
              </w:rPr>
              <w:fldChar w:fldCharType="begin"/>
            </w:r>
            <w:r w:rsidR="00836F37">
              <w:rPr>
                <w:noProof/>
                <w:webHidden/>
              </w:rPr>
              <w:instrText xml:space="preserve"> PAGEREF _Toc191383881 \h </w:instrText>
            </w:r>
            <w:r w:rsidR="00836F37">
              <w:rPr>
                <w:noProof/>
                <w:webHidden/>
              </w:rPr>
            </w:r>
            <w:r w:rsidR="00836F37">
              <w:rPr>
                <w:noProof/>
                <w:webHidden/>
              </w:rPr>
              <w:fldChar w:fldCharType="separate"/>
            </w:r>
            <w:r w:rsidR="000D68B5">
              <w:rPr>
                <w:noProof/>
                <w:webHidden/>
              </w:rPr>
              <w:t>57</w:t>
            </w:r>
            <w:r w:rsidR="00836F37">
              <w:rPr>
                <w:noProof/>
                <w:webHidden/>
              </w:rPr>
              <w:fldChar w:fldCharType="end"/>
            </w:r>
          </w:hyperlink>
        </w:p>
        <w:p w14:paraId="0FB3A2C3" w14:textId="5B42261F" w:rsidR="00836F37" w:rsidRDefault="00BF3635">
          <w:pPr>
            <w:pStyle w:val="Kazalovsebine3"/>
            <w:rPr>
              <w:rFonts w:asciiTheme="minorHAnsi" w:eastAsiaTheme="minorEastAsia" w:hAnsiTheme="minorHAnsi"/>
              <w:noProof/>
              <w:sz w:val="24"/>
              <w:szCs w:val="24"/>
              <w:lang w:eastAsia="sl-SI"/>
            </w:rPr>
          </w:pPr>
          <w:hyperlink w:anchor="_Toc191383882" w:history="1">
            <w:r w:rsidR="00836F37" w:rsidRPr="00966F6B">
              <w:rPr>
                <w:rStyle w:val="Hiperpovezava"/>
                <w:noProof/>
              </w:rPr>
              <w:t>6.5.1</w:t>
            </w:r>
            <w:r w:rsidR="00836F37">
              <w:rPr>
                <w:rFonts w:asciiTheme="minorHAnsi" w:eastAsiaTheme="minorEastAsia" w:hAnsiTheme="minorHAnsi"/>
                <w:noProof/>
                <w:sz w:val="24"/>
                <w:szCs w:val="24"/>
                <w:lang w:eastAsia="sl-SI"/>
              </w:rPr>
              <w:tab/>
            </w:r>
            <w:r w:rsidR="00836F37" w:rsidRPr="00966F6B">
              <w:rPr>
                <w:rStyle w:val="Hiperpovezava"/>
                <w:noProof/>
              </w:rPr>
              <w:t>PT: MVZI</w:t>
            </w:r>
            <w:r w:rsidR="00836F37">
              <w:rPr>
                <w:noProof/>
                <w:webHidden/>
              </w:rPr>
              <w:tab/>
            </w:r>
            <w:r w:rsidR="00836F37">
              <w:rPr>
                <w:noProof/>
                <w:webHidden/>
              </w:rPr>
              <w:fldChar w:fldCharType="begin"/>
            </w:r>
            <w:r w:rsidR="00836F37">
              <w:rPr>
                <w:noProof/>
                <w:webHidden/>
              </w:rPr>
              <w:instrText xml:space="preserve"> PAGEREF _Toc191383882 \h </w:instrText>
            </w:r>
            <w:r w:rsidR="00836F37">
              <w:rPr>
                <w:noProof/>
                <w:webHidden/>
              </w:rPr>
            </w:r>
            <w:r w:rsidR="00836F37">
              <w:rPr>
                <w:noProof/>
                <w:webHidden/>
              </w:rPr>
              <w:fldChar w:fldCharType="separate"/>
            </w:r>
            <w:r w:rsidR="000D68B5">
              <w:rPr>
                <w:noProof/>
                <w:webHidden/>
              </w:rPr>
              <w:t>57</w:t>
            </w:r>
            <w:r w:rsidR="00836F37">
              <w:rPr>
                <w:noProof/>
                <w:webHidden/>
              </w:rPr>
              <w:fldChar w:fldCharType="end"/>
            </w:r>
          </w:hyperlink>
        </w:p>
        <w:p w14:paraId="7977DCDE" w14:textId="3B36BA7E" w:rsidR="00836F37" w:rsidRDefault="00BF3635">
          <w:pPr>
            <w:pStyle w:val="Kazalovsebine3"/>
            <w:rPr>
              <w:rFonts w:asciiTheme="minorHAnsi" w:eastAsiaTheme="minorEastAsia" w:hAnsiTheme="minorHAnsi"/>
              <w:noProof/>
              <w:sz w:val="24"/>
              <w:szCs w:val="24"/>
              <w:lang w:eastAsia="sl-SI"/>
            </w:rPr>
          </w:pPr>
          <w:hyperlink w:anchor="_Toc191383883" w:history="1">
            <w:r w:rsidR="00836F37" w:rsidRPr="00966F6B">
              <w:rPr>
                <w:rStyle w:val="Hiperpovezava"/>
                <w:noProof/>
              </w:rPr>
              <w:t>6.5.2</w:t>
            </w:r>
            <w:r w:rsidR="00836F37">
              <w:rPr>
                <w:rFonts w:asciiTheme="minorHAnsi" w:eastAsiaTheme="minorEastAsia" w:hAnsiTheme="minorHAnsi"/>
                <w:noProof/>
                <w:sz w:val="24"/>
                <w:szCs w:val="24"/>
                <w:lang w:eastAsia="sl-SI"/>
              </w:rPr>
              <w:tab/>
            </w:r>
            <w:r w:rsidR="00836F37" w:rsidRPr="00966F6B">
              <w:rPr>
                <w:rStyle w:val="Hiperpovezava"/>
                <w:noProof/>
              </w:rPr>
              <w:t>PT: MVI</w:t>
            </w:r>
            <w:r w:rsidR="00836F37">
              <w:rPr>
                <w:noProof/>
                <w:webHidden/>
              </w:rPr>
              <w:tab/>
            </w:r>
            <w:r w:rsidR="00836F37">
              <w:rPr>
                <w:noProof/>
                <w:webHidden/>
              </w:rPr>
              <w:fldChar w:fldCharType="begin"/>
            </w:r>
            <w:r w:rsidR="00836F37">
              <w:rPr>
                <w:noProof/>
                <w:webHidden/>
              </w:rPr>
              <w:instrText xml:space="preserve"> PAGEREF _Toc191383883 \h </w:instrText>
            </w:r>
            <w:r w:rsidR="00836F37">
              <w:rPr>
                <w:noProof/>
                <w:webHidden/>
              </w:rPr>
            </w:r>
            <w:r w:rsidR="00836F37">
              <w:rPr>
                <w:noProof/>
                <w:webHidden/>
              </w:rPr>
              <w:fldChar w:fldCharType="separate"/>
            </w:r>
            <w:r w:rsidR="000D68B5">
              <w:rPr>
                <w:noProof/>
                <w:webHidden/>
              </w:rPr>
              <w:t>58</w:t>
            </w:r>
            <w:r w:rsidR="00836F37">
              <w:rPr>
                <w:noProof/>
                <w:webHidden/>
              </w:rPr>
              <w:fldChar w:fldCharType="end"/>
            </w:r>
          </w:hyperlink>
        </w:p>
        <w:p w14:paraId="06611C2D" w14:textId="744D1B76" w:rsidR="00836F37" w:rsidRDefault="00BF3635">
          <w:pPr>
            <w:pStyle w:val="Kazalovsebine3"/>
            <w:rPr>
              <w:rFonts w:asciiTheme="minorHAnsi" w:eastAsiaTheme="minorEastAsia" w:hAnsiTheme="minorHAnsi"/>
              <w:noProof/>
              <w:sz w:val="24"/>
              <w:szCs w:val="24"/>
              <w:lang w:eastAsia="sl-SI"/>
            </w:rPr>
          </w:pPr>
          <w:hyperlink w:anchor="_Toc191383884" w:history="1">
            <w:r w:rsidR="00836F37" w:rsidRPr="00966F6B">
              <w:rPr>
                <w:rStyle w:val="Hiperpovezava"/>
                <w:noProof/>
              </w:rPr>
              <w:t>6.5.3</w:t>
            </w:r>
            <w:r w:rsidR="00836F37">
              <w:rPr>
                <w:rFonts w:asciiTheme="minorHAnsi" w:eastAsiaTheme="minorEastAsia" w:hAnsiTheme="minorHAnsi"/>
                <w:noProof/>
                <w:sz w:val="24"/>
                <w:szCs w:val="24"/>
                <w:lang w:eastAsia="sl-SI"/>
              </w:rPr>
              <w:tab/>
            </w:r>
            <w:r w:rsidR="00836F37" w:rsidRPr="00966F6B">
              <w:rPr>
                <w:rStyle w:val="Hiperpovezava"/>
                <w:noProof/>
              </w:rPr>
              <w:t>PT: MOPE</w:t>
            </w:r>
            <w:r w:rsidR="00836F37">
              <w:rPr>
                <w:noProof/>
                <w:webHidden/>
              </w:rPr>
              <w:tab/>
            </w:r>
            <w:r w:rsidR="00836F37">
              <w:rPr>
                <w:noProof/>
                <w:webHidden/>
              </w:rPr>
              <w:fldChar w:fldCharType="begin"/>
            </w:r>
            <w:r w:rsidR="00836F37">
              <w:rPr>
                <w:noProof/>
                <w:webHidden/>
              </w:rPr>
              <w:instrText xml:space="preserve"> PAGEREF _Toc191383884 \h </w:instrText>
            </w:r>
            <w:r w:rsidR="00836F37">
              <w:rPr>
                <w:noProof/>
                <w:webHidden/>
              </w:rPr>
            </w:r>
            <w:r w:rsidR="00836F37">
              <w:rPr>
                <w:noProof/>
                <w:webHidden/>
              </w:rPr>
              <w:fldChar w:fldCharType="separate"/>
            </w:r>
            <w:r w:rsidR="000D68B5">
              <w:rPr>
                <w:noProof/>
                <w:webHidden/>
              </w:rPr>
              <w:t>58</w:t>
            </w:r>
            <w:r w:rsidR="00836F37">
              <w:rPr>
                <w:noProof/>
                <w:webHidden/>
              </w:rPr>
              <w:fldChar w:fldCharType="end"/>
            </w:r>
          </w:hyperlink>
        </w:p>
        <w:p w14:paraId="568290A3" w14:textId="693826F0" w:rsidR="00836F37" w:rsidRDefault="00BF3635">
          <w:pPr>
            <w:pStyle w:val="Kazalovsebine1"/>
            <w:rPr>
              <w:rFonts w:asciiTheme="minorHAnsi" w:eastAsiaTheme="minorEastAsia" w:hAnsiTheme="minorHAnsi"/>
              <w:noProof/>
              <w:sz w:val="24"/>
              <w:szCs w:val="24"/>
              <w:lang w:eastAsia="sl-SI"/>
            </w:rPr>
          </w:pPr>
          <w:hyperlink w:anchor="_Toc191383885" w:history="1">
            <w:r w:rsidR="00836F37" w:rsidRPr="00966F6B">
              <w:rPr>
                <w:rStyle w:val="Hiperpovezava"/>
                <w:noProof/>
              </w:rPr>
              <w:t>7</w:t>
            </w:r>
            <w:r w:rsidR="00836F37">
              <w:rPr>
                <w:rFonts w:asciiTheme="minorHAnsi" w:eastAsiaTheme="minorEastAsia" w:hAnsiTheme="minorHAnsi"/>
                <w:noProof/>
                <w:sz w:val="24"/>
                <w:szCs w:val="24"/>
                <w:lang w:eastAsia="sl-SI"/>
              </w:rPr>
              <w:tab/>
            </w:r>
            <w:r w:rsidR="00836F37" w:rsidRPr="00966F6B">
              <w:rPr>
                <w:rStyle w:val="Hiperpovezava"/>
                <w:noProof/>
              </w:rPr>
              <w:t>OBRAZLOŽITEV</w:t>
            </w:r>
            <w:r w:rsidR="00836F37">
              <w:rPr>
                <w:noProof/>
                <w:webHidden/>
              </w:rPr>
              <w:tab/>
            </w:r>
            <w:r w:rsidR="00836F37">
              <w:rPr>
                <w:noProof/>
                <w:webHidden/>
              </w:rPr>
              <w:fldChar w:fldCharType="begin"/>
            </w:r>
            <w:r w:rsidR="00836F37">
              <w:rPr>
                <w:noProof/>
                <w:webHidden/>
              </w:rPr>
              <w:instrText xml:space="preserve"> PAGEREF _Toc191383885 \h </w:instrText>
            </w:r>
            <w:r w:rsidR="00836F37">
              <w:rPr>
                <w:noProof/>
                <w:webHidden/>
              </w:rPr>
            </w:r>
            <w:r w:rsidR="00836F37">
              <w:rPr>
                <w:noProof/>
                <w:webHidden/>
              </w:rPr>
              <w:fldChar w:fldCharType="separate"/>
            </w:r>
            <w:r w:rsidR="000D68B5">
              <w:rPr>
                <w:noProof/>
                <w:webHidden/>
              </w:rPr>
              <w:t>60</w:t>
            </w:r>
            <w:r w:rsidR="00836F37">
              <w:rPr>
                <w:noProof/>
                <w:webHidden/>
              </w:rPr>
              <w:fldChar w:fldCharType="end"/>
            </w:r>
          </w:hyperlink>
        </w:p>
        <w:p w14:paraId="3DCB0BD9" w14:textId="69F39015" w:rsidR="002048B8" w:rsidRPr="004B3A39" w:rsidRDefault="002048B8" w:rsidP="00001AA8">
          <w:pPr>
            <w:spacing w:after="0"/>
            <w:jc w:val="both"/>
            <w:rPr>
              <w:rFonts w:cstheme="minorHAnsi"/>
            </w:rPr>
          </w:pPr>
          <w:r w:rsidRPr="004B3A39">
            <w:rPr>
              <w:rFonts w:cstheme="minorHAnsi"/>
              <w:b/>
              <w:bCs/>
            </w:rPr>
            <w:fldChar w:fldCharType="end"/>
          </w:r>
        </w:p>
      </w:sdtContent>
    </w:sdt>
    <w:p w14:paraId="54A37B30" w14:textId="43432CD3" w:rsidR="00001AA8" w:rsidRPr="001A2407" w:rsidRDefault="00164689" w:rsidP="00001AA8">
      <w:pPr>
        <w:spacing w:after="0"/>
        <w:rPr>
          <w:rFonts w:cstheme="minorHAnsi"/>
          <w:color w:val="4472C4" w:themeColor="accent1"/>
          <w:sz w:val="24"/>
          <w:szCs w:val="24"/>
        </w:rPr>
      </w:pPr>
      <w:r w:rsidRPr="001A2407">
        <w:rPr>
          <w:rFonts w:cstheme="minorHAnsi"/>
          <w:color w:val="4472C4" w:themeColor="accent1"/>
          <w:sz w:val="24"/>
          <w:szCs w:val="24"/>
        </w:rPr>
        <w:t>KAZALO SLIK</w:t>
      </w:r>
    </w:p>
    <w:p w14:paraId="1AC2D4A0" w14:textId="474BCCF2" w:rsidR="00001AA8" w:rsidRDefault="00001AA8" w:rsidP="000C270C">
      <w:pPr>
        <w:pStyle w:val="Kazaloslik"/>
        <w:tabs>
          <w:tab w:val="right" w:leader="dot" w:pos="9062"/>
        </w:tabs>
        <w:jc w:val="both"/>
        <w:rPr>
          <w:rFonts w:eastAsiaTheme="minorEastAsia"/>
          <w:noProof/>
          <w:lang w:eastAsia="sl-SI"/>
        </w:rPr>
      </w:pPr>
      <w:r>
        <w:rPr>
          <w:rFonts w:cstheme="minorHAnsi"/>
          <w:highlight w:val="yellow"/>
        </w:rPr>
        <w:fldChar w:fldCharType="begin"/>
      </w:r>
      <w:r>
        <w:rPr>
          <w:rFonts w:cstheme="minorHAnsi"/>
          <w:highlight w:val="yellow"/>
        </w:rPr>
        <w:instrText xml:space="preserve"> TOC \h \z \c "Slika" </w:instrText>
      </w:r>
      <w:r>
        <w:rPr>
          <w:rFonts w:cstheme="minorHAnsi"/>
          <w:highlight w:val="yellow"/>
        </w:rPr>
        <w:fldChar w:fldCharType="separate"/>
      </w:r>
      <w:hyperlink w:anchor="_Toc187242829" w:history="1">
        <w:r w:rsidRPr="00BC101C">
          <w:rPr>
            <w:rStyle w:val="Hiperpovezava"/>
            <w:rFonts w:cstheme="minorHAnsi"/>
            <w:noProof/>
          </w:rPr>
          <w:t>Slika 1: Zaposlenost je rekordno visoka, brezposelnost pa najnižja doslej, nujna dinamika se je od sredine leta 2023 precej umirila</w:t>
        </w:r>
        <w:r>
          <w:rPr>
            <w:noProof/>
            <w:webHidden/>
          </w:rPr>
          <w:tab/>
        </w:r>
        <w:r>
          <w:rPr>
            <w:noProof/>
            <w:webHidden/>
          </w:rPr>
          <w:fldChar w:fldCharType="begin"/>
        </w:r>
        <w:r>
          <w:rPr>
            <w:noProof/>
            <w:webHidden/>
          </w:rPr>
          <w:instrText xml:space="preserve"> PAGEREF _Toc187242829 \h </w:instrText>
        </w:r>
        <w:r>
          <w:rPr>
            <w:noProof/>
            <w:webHidden/>
          </w:rPr>
        </w:r>
        <w:r>
          <w:rPr>
            <w:noProof/>
            <w:webHidden/>
          </w:rPr>
          <w:fldChar w:fldCharType="separate"/>
        </w:r>
        <w:r w:rsidR="00FF63F0">
          <w:rPr>
            <w:noProof/>
            <w:webHidden/>
          </w:rPr>
          <w:t>21</w:t>
        </w:r>
        <w:r>
          <w:rPr>
            <w:noProof/>
            <w:webHidden/>
          </w:rPr>
          <w:fldChar w:fldCharType="end"/>
        </w:r>
      </w:hyperlink>
    </w:p>
    <w:p w14:paraId="11420952" w14:textId="3F63ADEE" w:rsidR="00001AA8" w:rsidRDefault="00001AA8" w:rsidP="00001AA8">
      <w:pPr>
        <w:spacing w:after="0"/>
        <w:rPr>
          <w:rFonts w:cstheme="minorHAnsi"/>
          <w:highlight w:val="yellow"/>
        </w:rPr>
      </w:pPr>
      <w:r>
        <w:rPr>
          <w:rFonts w:cstheme="minorHAnsi"/>
          <w:highlight w:val="yellow"/>
        </w:rPr>
        <w:fldChar w:fldCharType="end"/>
      </w:r>
    </w:p>
    <w:p w14:paraId="784E853E" w14:textId="65B963C1" w:rsidR="00B836E6" w:rsidRPr="001A2407" w:rsidRDefault="00164689" w:rsidP="00001AA8">
      <w:pPr>
        <w:spacing w:after="0"/>
        <w:rPr>
          <w:rFonts w:cstheme="minorHAnsi"/>
          <w:color w:val="4472C4" w:themeColor="accent1"/>
          <w:sz w:val="24"/>
          <w:szCs w:val="24"/>
        </w:rPr>
      </w:pPr>
      <w:r w:rsidRPr="001A2407">
        <w:rPr>
          <w:rFonts w:cstheme="minorHAnsi"/>
          <w:color w:val="4472C4" w:themeColor="accent1"/>
          <w:sz w:val="24"/>
          <w:szCs w:val="24"/>
        </w:rPr>
        <w:t>KAZALO TABEL</w:t>
      </w:r>
    </w:p>
    <w:p w14:paraId="314C6EBE" w14:textId="7E2BF02D" w:rsidR="00784805" w:rsidRDefault="00001AA8" w:rsidP="00784805">
      <w:pPr>
        <w:pStyle w:val="Kazaloslik"/>
        <w:tabs>
          <w:tab w:val="right" w:leader="dot" w:pos="9062"/>
        </w:tabs>
        <w:jc w:val="both"/>
        <w:rPr>
          <w:rFonts w:asciiTheme="minorHAnsi" w:eastAsiaTheme="minorEastAsia" w:hAnsiTheme="minorHAnsi"/>
          <w:noProof/>
          <w:sz w:val="24"/>
          <w:szCs w:val="24"/>
          <w:lang w:eastAsia="sl-SI"/>
        </w:rPr>
      </w:pPr>
      <w:r>
        <w:rPr>
          <w:rFonts w:cstheme="minorHAnsi"/>
          <w:highlight w:val="yellow"/>
        </w:rPr>
        <w:fldChar w:fldCharType="begin"/>
      </w:r>
      <w:r>
        <w:rPr>
          <w:rFonts w:cstheme="minorHAnsi"/>
          <w:highlight w:val="yellow"/>
        </w:rPr>
        <w:instrText xml:space="preserve"> TOC \h \z \c "Tabela" </w:instrText>
      </w:r>
      <w:r>
        <w:rPr>
          <w:rFonts w:cstheme="minorHAnsi"/>
          <w:highlight w:val="yellow"/>
        </w:rPr>
        <w:fldChar w:fldCharType="separate"/>
      </w:r>
      <w:hyperlink w:anchor="_Toc191459945" w:history="1">
        <w:r w:rsidR="00784805" w:rsidRPr="00482C3E">
          <w:rPr>
            <w:rStyle w:val="Hiperpovezava"/>
            <w:noProof/>
          </w:rPr>
          <w:t xml:space="preserve">Tabela 1: </w:t>
        </w:r>
        <w:r w:rsidR="00784805" w:rsidRPr="00482C3E">
          <w:rPr>
            <w:rStyle w:val="Hiperpovezava"/>
            <w:rFonts w:eastAsia="Calibri" w:cs="Calibri"/>
            <w:noProof/>
          </w:rPr>
          <w:t>Stanje koriščenja EKP sredstev (EU del) po ciljih politik v programskem obdobju 2021–2027</w:t>
        </w:r>
        <w:r w:rsidR="00784805">
          <w:rPr>
            <w:noProof/>
            <w:webHidden/>
          </w:rPr>
          <w:tab/>
        </w:r>
        <w:r w:rsidR="00784805">
          <w:rPr>
            <w:noProof/>
            <w:webHidden/>
          </w:rPr>
          <w:fldChar w:fldCharType="begin"/>
        </w:r>
        <w:r w:rsidR="00784805">
          <w:rPr>
            <w:noProof/>
            <w:webHidden/>
          </w:rPr>
          <w:instrText xml:space="preserve"> PAGEREF _Toc191459945 \h </w:instrText>
        </w:r>
        <w:r w:rsidR="00784805">
          <w:rPr>
            <w:noProof/>
            <w:webHidden/>
          </w:rPr>
        </w:r>
        <w:r w:rsidR="00784805">
          <w:rPr>
            <w:noProof/>
            <w:webHidden/>
          </w:rPr>
          <w:fldChar w:fldCharType="separate"/>
        </w:r>
        <w:r w:rsidR="0018408C">
          <w:rPr>
            <w:noProof/>
            <w:webHidden/>
          </w:rPr>
          <w:t>7</w:t>
        </w:r>
        <w:r w:rsidR="00784805">
          <w:rPr>
            <w:noProof/>
            <w:webHidden/>
          </w:rPr>
          <w:fldChar w:fldCharType="end"/>
        </w:r>
      </w:hyperlink>
    </w:p>
    <w:p w14:paraId="5C4145B7" w14:textId="6EB03A4C"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46" w:history="1">
        <w:r w:rsidR="00784805" w:rsidRPr="00482C3E">
          <w:rPr>
            <w:rStyle w:val="Hiperpovezava"/>
            <w:noProof/>
          </w:rPr>
          <w:t>Tabela 2: Predlagane prerazporeditve sredstev znotraj PEKP 21–27 za namene STEP</w:t>
        </w:r>
        <w:r w:rsidR="00784805">
          <w:rPr>
            <w:noProof/>
            <w:webHidden/>
          </w:rPr>
          <w:tab/>
        </w:r>
        <w:r w:rsidR="00784805">
          <w:rPr>
            <w:noProof/>
            <w:webHidden/>
          </w:rPr>
          <w:fldChar w:fldCharType="begin"/>
        </w:r>
        <w:r w:rsidR="00784805">
          <w:rPr>
            <w:noProof/>
            <w:webHidden/>
          </w:rPr>
          <w:instrText xml:space="preserve"> PAGEREF _Toc191459946 \h </w:instrText>
        </w:r>
        <w:r w:rsidR="00784805">
          <w:rPr>
            <w:noProof/>
            <w:webHidden/>
          </w:rPr>
        </w:r>
        <w:r w:rsidR="00784805">
          <w:rPr>
            <w:noProof/>
            <w:webHidden/>
          </w:rPr>
          <w:fldChar w:fldCharType="separate"/>
        </w:r>
        <w:r w:rsidR="0018408C">
          <w:rPr>
            <w:noProof/>
            <w:webHidden/>
          </w:rPr>
          <w:t>16</w:t>
        </w:r>
        <w:r w:rsidR="00784805">
          <w:rPr>
            <w:noProof/>
            <w:webHidden/>
          </w:rPr>
          <w:fldChar w:fldCharType="end"/>
        </w:r>
      </w:hyperlink>
    </w:p>
    <w:p w14:paraId="4F1C5D63" w14:textId="586B5B05"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47" w:history="1">
        <w:r w:rsidR="00784805" w:rsidRPr="00482C3E">
          <w:rPr>
            <w:rStyle w:val="Hiperpovezava"/>
            <w:noProof/>
          </w:rPr>
          <w:t>Tabela 3: Predlagano znižanje sredstev se odrazi v delu »Tabela 4: Razsežnost 1 – področje ukrepanja«</w:t>
        </w:r>
        <w:r w:rsidR="00784805">
          <w:rPr>
            <w:noProof/>
            <w:webHidden/>
          </w:rPr>
          <w:tab/>
        </w:r>
        <w:r w:rsidR="00784805">
          <w:rPr>
            <w:noProof/>
            <w:webHidden/>
          </w:rPr>
          <w:fldChar w:fldCharType="begin"/>
        </w:r>
        <w:r w:rsidR="00784805">
          <w:rPr>
            <w:noProof/>
            <w:webHidden/>
          </w:rPr>
          <w:instrText xml:space="preserve"> PAGEREF _Toc191459947 \h </w:instrText>
        </w:r>
        <w:r w:rsidR="00784805">
          <w:rPr>
            <w:noProof/>
            <w:webHidden/>
          </w:rPr>
        </w:r>
        <w:r w:rsidR="00784805">
          <w:rPr>
            <w:noProof/>
            <w:webHidden/>
          </w:rPr>
          <w:fldChar w:fldCharType="separate"/>
        </w:r>
        <w:r w:rsidR="0018408C">
          <w:rPr>
            <w:noProof/>
            <w:webHidden/>
          </w:rPr>
          <w:t>17</w:t>
        </w:r>
        <w:r w:rsidR="00784805">
          <w:rPr>
            <w:noProof/>
            <w:webHidden/>
          </w:rPr>
          <w:fldChar w:fldCharType="end"/>
        </w:r>
      </w:hyperlink>
    </w:p>
    <w:p w14:paraId="0E378BFD" w14:textId="0762C56A"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48" w:history="1">
        <w:r w:rsidR="00784805" w:rsidRPr="00482C3E">
          <w:rPr>
            <w:rStyle w:val="Hiperpovezava"/>
            <w:noProof/>
          </w:rPr>
          <w:t>Tabela 4: Predlagano znižanje kazalnikov učinka in kazalnikov rezultata</w:t>
        </w:r>
        <w:r w:rsidR="00784805">
          <w:rPr>
            <w:noProof/>
            <w:webHidden/>
          </w:rPr>
          <w:tab/>
        </w:r>
        <w:r w:rsidR="00784805">
          <w:rPr>
            <w:noProof/>
            <w:webHidden/>
          </w:rPr>
          <w:fldChar w:fldCharType="begin"/>
        </w:r>
        <w:r w:rsidR="00784805">
          <w:rPr>
            <w:noProof/>
            <w:webHidden/>
          </w:rPr>
          <w:instrText xml:space="preserve"> PAGEREF _Toc191459948 \h </w:instrText>
        </w:r>
        <w:r w:rsidR="00784805">
          <w:rPr>
            <w:noProof/>
            <w:webHidden/>
          </w:rPr>
        </w:r>
        <w:r w:rsidR="00784805">
          <w:rPr>
            <w:noProof/>
            <w:webHidden/>
          </w:rPr>
          <w:fldChar w:fldCharType="separate"/>
        </w:r>
        <w:r w:rsidR="0018408C">
          <w:rPr>
            <w:noProof/>
            <w:webHidden/>
          </w:rPr>
          <w:t>18</w:t>
        </w:r>
        <w:r w:rsidR="00784805">
          <w:rPr>
            <w:noProof/>
            <w:webHidden/>
          </w:rPr>
          <w:fldChar w:fldCharType="end"/>
        </w:r>
      </w:hyperlink>
    </w:p>
    <w:p w14:paraId="04022768" w14:textId="6531E8E8"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49" w:history="1">
        <w:r w:rsidR="00784805" w:rsidRPr="00482C3E">
          <w:rPr>
            <w:rStyle w:val="Hiperpovezava"/>
            <w:noProof/>
          </w:rPr>
          <w:t>Tabela 5: Predlagano znižanje sredstev se odrazi v delu »Tabela 4: Razsežnost 1 – področje ukrepanja«</w:t>
        </w:r>
        <w:r w:rsidR="00784805">
          <w:rPr>
            <w:noProof/>
            <w:webHidden/>
          </w:rPr>
          <w:tab/>
        </w:r>
        <w:r w:rsidR="00784805">
          <w:rPr>
            <w:noProof/>
            <w:webHidden/>
          </w:rPr>
          <w:fldChar w:fldCharType="begin"/>
        </w:r>
        <w:r w:rsidR="00784805">
          <w:rPr>
            <w:noProof/>
            <w:webHidden/>
          </w:rPr>
          <w:instrText xml:space="preserve"> PAGEREF _Toc191459949 \h </w:instrText>
        </w:r>
        <w:r w:rsidR="00784805">
          <w:rPr>
            <w:noProof/>
            <w:webHidden/>
          </w:rPr>
        </w:r>
        <w:r w:rsidR="00784805">
          <w:rPr>
            <w:noProof/>
            <w:webHidden/>
          </w:rPr>
          <w:fldChar w:fldCharType="separate"/>
        </w:r>
        <w:r w:rsidR="0018408C">
          <w:rPr>
            <w:noProof/>
            <w:webHidden/>
          </w:rPr>
          <w:t>18</w:t>
        </w:r>
        <w:r w:rsidR="00784805">
          <w:rPr>
            <w:noProof/>
            <w:webHidden/>
          </w:rPr>
          <w:fldChar w:fldCharType="end"/>
        </w:r>
      </w:hyperlink>
    </w:p>
    <w:p w14:paraId="61AE60A0" w14:textId="756AD557"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50" w:history="1">
        <w:r w:rsidR="00784805" w:rsidRPr="00482C3E">
          <w:rPr>
            <w:rStyle w:val="Hiperpovezava"/>
            <w:noProof/>
          </w:rPr>
          <w:t>Tabela 6: Predlagano znižanje kazalnikov učinka in kazalnikov rezultata</w:t>
        </w:r>
        <w:r w:rsidR="00784805">
          <w:rPr>
            <w:noProof/>
            <w:webHidden/>
          </w:rPr>
          <w:tab/>
        </w:r>
        <w:r w:rsidR="00784805">
          <w:rPr>
            <w:noProof/>
            <w:webHidden/>
          </w:rPr>
          <w:fldChar w:fldCharType="begin"/>
        </w:r>
        <w:r w:rsidR="00784805">
          <w:rPr>
            <w:noProof/>
            <w:webHidden/>
          </w:rPr>
          <w:instrText xml:space="preserve"> PAGEREF _Toc191459950 \h </w:instrText>
        </w:r>
        <w:r w:rsidR="00784805">
          <w:rPr>
            <w:noProof/>
            <w:webHidden/>
          </w:rPr>
        </w:r>
        <w:r w:rsidR="00784805">
          <w:rPr>
            <w:noProof/>
            <w:webHidden/>
          </w:rPr>
          <w:fldChar w:fldCharType="separate"/>
        </w:r>
        <w:r w:rsidR="0018408C">
          <w:rPr>
            <w:noProof/>
            <w:webHidden/>
          </w:rPr>
          <w:t>19</w:t>
        </w:r>
        <w:r w:rsidR="00784805">
          <w:rPr>
            <w:noProof/>
            <w:webHidden/>
          </w:rPr>
          <w:fldChar w:fldCharType="end"/>
        </w:r>
      </w:hyperlink>
    </w:p>
    <w:p w14:paraId="79BDBB87" w14:textId="48FA3CE6"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51" w:history="1">
        <w:r w:rsidR="00784805" w:rsidRPr="00482C3E">
          <w:rPr>
            <w:rStyle w:val="Hiperpovezava"/>
            <w:noProof/>
          </w:rPr>
          <w:t>Tabela 7: Predlagano znižanje sredstev se odrazi v delu »Tabela 4: Razsežnost 1 – področje ukrepanja«</w:t>
        </w:r>
        <w:r w:rsidR="00784805">
          <w:rPr>
            <w:noProof/>
            <w:webHidden/>
          </w:rPr>
          <w:tab/>
        </w:r>
        <w:r w:rsidR="00784805">
          <w:rPr>
            <w:noProof/>
            <w:webHidden/>
          </w:rPr>
          <w:fldChar w:fldCharType="begin"/>
        </w:r>
        <w:r w:rsidR="00784805">
          <w:rPr>
            <w:noProof/>
            <w:webHidden/>
          </w:rPr>
          <w:instrText xml:space="preserve"> PAGEREF _Toc191459951 \h </w:instrText>
        </w:r>
        <w:r w:rsidR="00784805">
          <w:rPr>
            <w:noProof/>
            <w:webHidden/>
          </w:rPr>
        </w:r>
        <w:r w:rsidR="00784805">
          <w:rPr>
            <w:noProof/>
            <w:webHidden/>
          </w:rPr>
          <w:fldChar w:fldCharType="separate"/>
        </w:r>
        <w:r w:rsidR="0018408C">
          <w:rPr>
            <w:noProof/>
            <w:webHidden/>
          </w:rPr>
          <w:t>19</w:t>
        </w:r>
        <w:r w:rsidR="00784805">
          <w:rPr>
            <w:noProof/>
            <w:webHidden/>
          </w:rPr>
          <w:fldChar w:fldCharType="end"/>
        </w:r>
      </w:hyperlink>
    </w:p>
    <w:p w14:paraId="7ED02F56" w14:textId="50485B2A"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52" w:history="1">
        <w:r w:rsidR="00784805" w:rsidRPr="00482C3E">
          <w:rPr>
            <w:rStyle w:val="Hiperpovezava"/>
            <w:noProof/>
          </w:rPr>
          <w:t>Tabela 8: Predlagano znižanje kazalnikov učinka in kazalnikov rezultata</w:t>
        </w:r>
        <w:r w:rsidR="00784805">
          <w:rPr>
            <w:noProof/>
            <w:webHidden/>
          </w:rPr>
          <w:tab/>
        </w:r>
        <w:r w:rsidR="00784805">
          <w:rPr>
            <w:noProof/>
            <w:webHidden/>
          </w:rPr>
          <w:fldChar w:fldCharType="begin"/>
        </w:r>
        <w:r w:rsidR="00784805">
          <w:rPr>
            <w:noProof/>
            <w:webHidden/>
          </w:rPr>
          <w:instrText xml:space="preserve"> PAGEREF _Toc191459952 \h </w:instrText>
        </w:r>
        <w:r w:rsidR="00784805">
          <w:rPr>
            <w:noProof/>
            <w:webHidden/>
          </w:rPr>
        </w:r>
        <w:r w:rsidR="00784805">
          <w:rPr>
            <w:noProof/>
            <w:webHidden/>
          </w:rPr>
          <w:fldChar w:fldCharType="separate"/>
        </w:r>
        <w:r w:rsidR="0018408C">
          <w:rPr>
            <w:noProof/>
            <w:webHidden/>
          </w:rPr>
          <w:t>19</w:t>
        </w:r>
        <w:r w:rsidR="00784805">
          <w:rPr>
            <w:noProof/>
            <w:webHidden/>
          </w:rPr>
          <w:fldChar w:fldCharType="end"/>
        </w:r>
      </w:hyperlink>
    </w:p>
    <w:p w14:paraId="13B4FBD8" w14:textId="22700A06"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53" w:history="1">
        <w:r w:rsidR="00784805" w:rsidRPr="00482C3E">
          <w:rPr>
            <w:rStyle w:val="Hiperpovezava"/>
            <w:noProof/>
          </w:rPr>
          <w:t>Tabela 9: Predlagano nižanje sredstev za namen STEP na Kategoriji regije "Boj razvita regija" na ukrepu "Spodbujanje novih daljinskih sistemov na OVE (ogrevanje in hlajenja)"</w:t>
        </w:r>
        <w:r w:rsidR="00784805">
          <w:rPr>
            <w:noProof/>
            <w:webHidden/>
          </w:rPr>
          <w:tab/>
        </w:r>
        <w:r w:rsidR="00784805">
          <w:rPr>
            <w:noProof/>
            <w:webHidden/>
          </w:rPr>
          <w:fldChar w:fldCharType="begin"/>
        </w:r>
        <w:r w:rsidR="00784805">
          <w:rPr>
            <w:noProof/>
            <w:webHidden/>
          </w:rPr>
          <w:instrText xml:space="preserve"> PAGEREF _Toc191459953 \h </w:instrText>
        </w:r>
        <w:r w:rsidR="00784805">
          <w:rPr>
            <w:noProof/>
            <w:webHidden/>
          </w:rPr>
        </w:r>
        <w:r w:rsidR="00784805">
          <w:rPr>
            <w:noProof/>
            <w:webHidden/>
          </w:rPr>
          <w:fldChar w:fldCharType="separate"/>
        </w:r>
        <w:r w:rsidR="0018408C">
          <w:rPr>
            <w:noProof/>
            <w:webHidden/>
          </w:rPr>
          <w:t>20</w:t>
        </w:r>
        <w:r w:rsidR="00784805">
          <w:rPr>
            <w:noProof/>
            <w:webHidden/>
          </w:rPr>
          <w:fldChar w:fldCharType="end"/>
        </w:r>
      </w:hyperlink>
    </w:p>
    <w:p w14:paraId="212E3BDA" w14:textId="2B90DFEC"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54" w:history="1">
        <w:r w:rsidR="00784805" w:rsidRPr="00482C3E">
          <w:rPr>
            <w:rStyle w:val="Hiperpovezava"/>
            <w:noProof/>
          </w:rPr>
          <w:t>Tabela 10: Predlagano nižanje sredstev se odrazi tudi v delu »Tabela 4: Razsežnost 1 – področje ukrepanja</w:t>
        </w:r>
        <w:r w:rsidR="00784805">
          <w:rPr>
            <w:noProof/>
            <w:webHidden/>
          </w:rPr>
          <w:tab/>
        </w:r>
        <w:r w:rsidR="00784805">
          <w:rPr>
            <w:noProof/>
            <w:webHidden/>
          </w:rPr>
          <w:fldChar w:fldCharType="begin"/>
        </w:r>
        <w:r w:rsidR="00784805">
          <w:rPr>
            <w:noProof/>
            <w:webHidden/>
          </w:rPr>
          <w:instrText xml:space="preserve"> PAGEREF _Toc191459954 \h </w:instrText>
        </w:r>
        <w:r w:rsidR="00784805">
          <w:rPr>
            <w:noProof/>
            <w:webHidden/>
          </w:rPr>
        </w:r>
        <w:r w:rsidR="00784805">
          <w:rPr>
            <w:noProof/>
            <w:webHidden/>
          </w:rPr>
          <w:fldChar w:fldCharType="separate"/>
        </w:r>
        <w:r w:rsidR="0018408C">
          <w:rPr>
            <w:noProof/>
            <w:webHidden/>
          </w:rPr>
          <w:t>20</w:t>
        </w:r>
        <w:r w:rsidR="00784805">
          <w:rPr>
            <w:noProof/>
            <w:webHidden/>
          </w:rPr>
          <w:fldChar w:fldCharType="end"/>
        </w:r>
      </w:hyperlink>
    </w:p>
    <w:p w14:paraId="05BADE62" w14:textId="2CEB39D2"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55" w:history="1">
        <w:r w:rsidR="00784805" w:rsidRPr="00482C3E">
          <w:rPr>
            <w:rStyle w:val="Hiperpovezava"/>
            <w:noProof/>
          </w:rPr>
          <w:t>Tabela 11: Znižanje sredstev na RSO 2.3 na ukrepu "Spodbujanje naložb in tehnologij za pretvorbo viškov električne energije iz OVE ter povezovanje omrežij za potrebe shranjevanja energije ob pretvorbi«</w:t>
        </w:r>
        <w:r w:rsidR="00784805">
          <w:rPr>
            <w:noProof/>
            <w:webHidden/>
          </w:rPr>
          <w:tab/>
        </w:r>
        <w:r w:rsidR="00784805">
          <w:rPr>
            <w:noProof/>
            <w:webHidden/>
          </w:rPr>
          <w:fldChar w:fldCharType="begin"/>
        </w:r>
        <w:r w:rsidR="00784805">
          <w:rPr>
            <w:noProof/>
            <w:webHidden/>
          </w:rPr>
          <w:instrText xml:space="preserve"> PAGEREF _Toc191459955 \h </w:instrText>
        </w:r>
        <w:r w:rsidR="00784805">
          <w:rPr>
            <w:noProof/>
            <w:webHidden/>
          </w:rPr>
        </w:r>
        <w:r w:rsidR="00784805">
          <w:rPr>
            <w:noProof/>
            <w:webHidden/>
          </w:rPr>
          <w:fldChar w:fldCharType="separate"/>
        </w:r>
        <w:r w:rsidR="0018408C">
          <w:rPr>
            <w:noProof/>
            <w:webHidden/>
          </w:rPr>
          <w:t>21</w:t>
        </w:r>
        <w:r w:rsidR="00784805">
          <w:rPr>
            <w:noProof/>
            <w:webHidden/>
          </w:rPr>
          <w:fldChar w:fldCharType="end"/>
        </w:r>
      </w:hyperlink>
    </w:p>
    <w:p w14:paraId="6CF21450" w14:textId="7EB5815A"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56" w:history="1">
        <w:r w:rsidR="00784805" w:rsidRPr="00482C3E">
          <w:rPr>
            <w:rStyle w:val="Hiperpovezava"/>
            <w:noProof/>
          </w:rPr>
          <w:t>Tabela 12: Sprememba kazalnikov, ki prispevajo k ukrepu</w:t>
        </w:r>
        <w:r w:rsidR="00784805">
          <w:rPr>
            <w:noProof/>
            <w:webHidden/>
          </w:rPr>
          <w:tab/>
        </w:r>
        <w:r w:rsidR="00784805">
          <w:rPr>
            <w:noProof/>
            <w:webHidden/>
          </w:rPr>
          <w:fldChar w:fldCharType="begin"/>
        </w:r>
        <w:r w:rsidR="00784805">
          <w:rPr>
            <w:noProof/>
            <w:webHidden/>
          </w:rPr>
          <w:instrText xml:space="preserve"> PAGEREF _Toc191459956 \h </w:instrText>
        </w:r>
        <w:r w:rsidR="00784805">
          <w:rPr>
            <w:noProof/>
            <w:webHidden/>
          </w:rPr>
        </w:r>
        <w:r w:rsidR="00784805">
          <w:rPr>
            <w:noProof/>
            <w:webHidden/>
          </w:rPr>
          <w:fldChar w:fldCharType="separate"/>
        </w:r>
        <w:r w:rsidR="0018408C">
          <w:rPr>
            <w:noProof/>
            <w:webHidden/>
          </w:rPr>
          <w:t>21</w:t>
        </w:r>
        <w:r w:rsidR="00784805">
          <w:rPr>
            <w:noProof/>
            <w:webHidden/>
          </w:rPr>
          <w:fldChar w:fldCharType="end"/>
        </w:r>
      </w:hyperlink>
    </w:p>
    <w:p w14:paraId="1E02428A" w14:textId="1E8557D6"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57" w:history="1">
        <w:r w:rsidR="00784805" w:rsidRPr="00482C3E">
          <w:rPr>
            <w:rStyle w:val="Hiperpovezava"/>
            <w:noProof/>
          </w:rPr>
          <w:t>Tabela 13: Predlogi finančnih prerazporeditev, ki so v nadaljevanju pojasnjeni – natančne prerazporeditve znotraj posameznega Cilja politik bodo dorečene v sklopu usklajevanja PEKP do formalne potrditve s strani Evropske komisije</w:t>
        </w:r>
        <w:r w:rsidR="00784805">
          <w:rPr>
            <w:noProof/>
            <w:webHidden/>
          </w:rPr>
          <w:tab/>
        </w:r>
        <w:r w:rsidR="00784805">
          <w:rPr>
            <w:noProof/>
            <w:webHidden/>
          </w:rPr>
          <w:fldChar w:fldCharType="begin"/>
        </w:r>
        <w:r w:rsidR="00784805">
          <w:rPr>
            <w:noProof/>
            <w:webHidden/>
          </w:rPr>
          <w:instrText xml:space="preserve"> PAGEREF _Toc191459957 \h </w:instrText>
        </w:r>
        <w:r w:rsidR="00784805">
          <w:rPr>
            <w:noProof/>
            <w:webHidden/>
          </w:rPr>
        </w:r>
        <w:r w:rsidR="00784805">
          <w:rPr>
            <w:noProof/>
            <w:webHidden/>
          </w:rPr>
          <w:fldChar w:fldCharType="separate"/>
        </w:r>
        <w:r w:rsidR="0018408C">
          <w:rPr>
            <w:noProof/>
            <w:webHidden/>
          </w:rPr>
          <w:t>25</w:t>
        </w:r>
        <w:r w:rsidR="00784805">
          <w:rPr>
            <w:noProof/>
            <w:webHidden/>
          </w:rPr>
          <w:fldChar w:fldCharType="end"/>
        </w:r>
      </w:hyperlink>
    </w:p>
    <w:p w14:paraId="57BF7D2D" w14:textId="751AC11E"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58" w:history="1">
        <w:r w:rsidR="00784805" w:rsidRPr="00482C3E">
          <w:rPr>
            <w:rStyle w:val="Hiperpovezava"/>
            <w:noProof/>
          </w:rPr>
          <w:t>Tabela 14: Identificirani možni kazalci učinka</w:t>
        </w:r>
        <w:r w:rsidR="00784805">
          <w:rPr>
            <w:noProof/>
            <w:webHidden/>
          </w:rPr>
          <w:tab/>
        </w:r>
        <w:r w:rsidR="00784805">
          <w:rPr>
            <w:noProof/>
            <w:webHidden/>
          </w:rPr>
          <w:fldChar w:fldCharType="begin"/>
        </w:r>
        <w:r w:rsidR="00784805">
          <w:rPr>
            <w:noProof/>
            <w:webHidden/>
          </w:rPr>
          <w:instrText xml:space="preserve"> PAGEREF _Toc191459958 \h </w:instrText>
        </w:r>
        <w:r w:rsidR="00784805">
          <w:rPr>
            <w:noProof/>
            <w:webHidden/>
          </w:rPr>
        </w:r>
        <w:r w:rsidR="00784805">
          <w:rPr>
            <w:noProof/>
            <w:webHidden/>
          </w:rPr>
          <w:fldChar w:fldCharType="separate"/>
        </w:r>
        <w:r w:rsidR="0018408C">
          <w:rPr>
            <w:noProof/>
            <w:webHidden/>
          </w:rPr>
          <w:t>37</w:t>
        </w:r>
        <w:r w:rsidR="00784805">
          <w:rPr>
            <w:noProof/>
            <w:webHidden/>
          </w:rPr>
          <w:fldChar w:fldCharType="end"/>
        </w:r>
      </w:hyperlink>
    </w:p>
    <w:p w14:paraId="68320767" w14:textId="3B14DF92"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59" w:history="1">
        <w:r w:rsidR="00784805" w:rsidRPr="00482C3E">
          <w:rPr>
            <w:rStyle w:val="Hiperpovezava"/>
            <w:noProof/>
          </w:rPr>
          <w:t>Tabela 15: Identificirani možni kazalci rezultatov</w:t>
        </w:r>
        <w:r w:rsidR="00784805">
          <w:rPr>
            <w:noProof/>
            <w:webHidden/>
          </w:rPr>
          <w:tab/>
        </w:r>
        <w:r w:rsidR="00784805">
          <w:rPr>
            <w:noProof/>
            <w:webHidden/>
          </w:rPr>
          <w:fldChar w:fldCharType="begin"/>
        </w:r>
        <w:r w:rsidR="00784805">
          <w:rPr>
            <w:noProof/>
            <w:webHidden/>
          </w:rPr>
          <w:instrText xml:space="preserve"> PAGEREF _Toc191459959 \h </w:instrText>
        </w:r>
        <w:r w:rsidR="00784805">
          <w:rPr>
            <w:noProof/>
            <w:webHidden/>
          </w:rPr>
        </w:r>
        <w:r w:rsidR="00784805">
          <w:rPr>
            <w:noProof/>
            <w:webHidden/>
          </w:rPr>
          <w:fldChar w:fldCharType="separate"/>
        </w:r>
        <w:r w:rsidR="0018408C">
          <w:rPr>
            <w:noProof/>
            <w:webHidden/>
          </w:rPr>
          <w:t>38</w:t>
        </w:r>
        <w:r w:rsidR="00784805">
          <w:rPr>
            <w:noProof/>
            <w:webHidden/>
          </w:rPr>
          <w:fldChar w:fldCharType="end"/>
        </w:r>
      </w:hyperlink>
    </w:p>
    <w:p w14:paraId="6252F560" w14:textId="4C5CC7AD"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60" w:history="1">
        <w:r w:rsidR="00784805" w:rsidRPr="00482C3E">
          <w:rPr>
            <w:rStyle w:val="Hiperpovezava"/>
            <w:noProof/>
          </w:rPr>
          <w:t>Tabela 16: Identificirane možne kode za razsežnost 1</w:t>
        </w:r>
        <w:r w:rsidR="00784805">
          <w:rPr>
            <w:noProof/>
            <w:webHidden/>
          </w:rPr>
          <w:tab/>
        </w:r>
        <w:r w:rsidR="00784805">
          <w:rPr>
            <w:noProof/>
            <w:webHidden/>
          </w:rPr>
          <w:fldChar w:fldCharType="begin"/>
        </w:r>
        <w:r w:rsidR="00784805">
          <w:rPr>
            <w:noProof/>
            <w:webHidden/>
          </w:rPr>
          <w:instrText xml:space="preserve"> PAGEREF _Toc191459960 \h </w:instrText>
        </w:r>
        <w:r w:rsidR="00784805">
          <w:rPr>
            <w:noProof/>
            <w:webHidden/>
          </w:rPr>
        </w:r>
        <w:r w:rsidR="00784805">
          <w:rPr>
            <w:noProof/>
            <w:webHidden/>
          </w:rPr>
          <w:fldChar w:fldCharType="separate"/>
        </w:r>
        <w:r w:rsidR="0018408C">
          <w:rPr>
            <w:noProof/>
            <w:webHidden/>
          </w:rPr>
          <w:t>38</w:t>
        </w:r>
        <w:r w:rsidR="00784805">
          <w:rPr>
            <w:noProof/>
            <w:webHidden/>
          </w:rPr>
          <w:fldChar w:fldCharType="end"/>
        </w:r>
      </w:hyperlink>
    </w:p>
    <w:p w14:paraId="239C407D" w14:textId="26CEB9D3"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61" w:history="1">
        <w:r w:rsidR="00784805" w:rsidRPr="00482C3E">
          <w:rPr>
            <w:rStyle w:val="Hiperpovezava"/>
            <w:noProof/>
          </w:rPr>
          <w:t>Tabela 17: Razsežnost 2 – oblika financiranja</w:t>
        </w:r>
        <w:r w:rsidR="00784805">
          <w:rPr>
            <w:noProof/>
            <w:webHidden/>
          </w:rPr>
          <w:tab/>
        </w:r>
        <w:r w:rsidR="00784805">
          <w:rPr>
            <w:noProof/>
            <w:webHidden/>
          </w:rPr>
          <w:fldChar w:fldCharType="begin"/>
        </w:r>
        <w:r w:rsidR="00784805">
          <w:rPr>
            <w:noProof/>
            <w:webHidden/>
          </w:rPr>
          <w:instrText xml:space="preserve"> PAGEREF _Toc191459961 \h </w:instrText>
        </w:r>
        <w:r w:rsidR="00784805">
          <w:rPr>
            <w:noProof/>
            <w:webHidden/>
          </w:rPr>
        </w:r>
        <w:r w:rsidR="00784805">
          <w:rPr>
            <w:noProof/>
            <w:webHidden/>
          </w:rPr>
          <w:fldChar w:fldCharType="separate"/>
        </w:r>
        <w:r w:rsidR="0018408C">
          <w:rPr>
            <w:noProof/>
            <w:webHidden/>
          </w:rPr>
          <w:t>40</w:t>
        </w:r>
        <w:r w:rsidR="00784805">
          <w:rPr>
            <w:noProof/>
            <w:webHidden/>
          </w:rPr>
          <w:fldChar w:fldCharType="end"/>
        </w:r>
      </w:hyperlink>
    </w:p>
    <w:p w14:paraId="3C62C25E" w14:textId="320FAB8B"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62" w:history="1">
        <w:r w:rsidR="00784805" w:rsidRPr="00482C3E">
          <w:rPr>
            <w:rStyle w:val="Hiperpovezava"/>
            <w:noProof/>
          </w:rPr>
          <w:t>Tabela 18: Predlog spremembe področij ukrepanja</w:t>
        </w:r>
        <w:r w:rsidR="00784805">
          <w:rPr>
            <w:noProof/>
            <w:webHidden/>
          </w:rPr>
          <w:tab/>
        </w:r>
        <w:r w:rsidR="00784805">
          <w:rPr>
            <w:noProof/>
            <w:webHidden/>
          </w:rPr>
          <w:fldChar w:fldCharType="begin"/>
        </w:r>
        <w:r w:rsidR="00784805">
          <w:rPr>
            <w:noProof/>
            <w:webHidden/>
          </w:rPr>
          <w:instrText xml:space="preserve"> PAGEREF _Toc191459962 \h </w:instrText>
        </w:r>
        <w:r w:rsidR="00784805">
          <w:rPr>
            <w:noProof/>
            <w:webHidden/>
          </w:rPr>
        </w:r>
        <w:r w:rsidR="00784805">
          <w:rPr>
            <w:noProof/>
            <w:webHidden/>
          </w:rPr>
          <w:fldChar w:fldCharType="separate"/>
        </w:r>
        <w:r w:rsidR="0018408C">
          <w:rPr>
            <w:noProof/>
            <w:webHidden/>
          </w:rPr>
          <w:t>42</w:t>
        </w:r>
        <w:r w:rsidR="00784805">
          <w:rPr>
            <w:noProof/>
            <w:webHidden/>
          </w:rPr>
          <w:fldChar w:fldCharType="end"/>
        </w:r>
      </w:hyperlink>
    </w:p>
    <w:p w14:paraId="33C76A83" w14:textId="6652407A"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63" w:history="1">
        <w:r w:rsidR="00784805" w:rsidRPr="00482C3E">
          <w:rPr>
            <w:rStyle w:val="Hiperpovezava"/>
            <w:noProof/>
          </w:rPr>
          <w:t>Tabela 19: Predlog novih kazalnikov učinka na RSO 2.4 ESRR Specifični cilj</w:t>
        </w:r>
        <w:r w:rsidR="00784805">
          <w:rPr>
            <w:noProof/>
            <w:webHidden/>
          </w:rPr>
          <w:tab/>
        </w:r>
        <w:r w:rsidR="00784805">
          <w:rPr>
            <w:noProof/>
            <w:webHidden/>
          </w:rPr>
          <w:fldChar w:fldCharType="begin"/>
        </w:r>
        <w:r w:rsidR="00784805">
          <w:rPr>
            <w:noProof/>
            <w:webHidden/>
          </w:rPr>
          <w:instrText xml:space="preserve"> PAGEREF _Toc191459963 \h </w:instrText>
        </w:r>
        <w:r w:rsidR="00784805">
          <w:rPr>
            <w:noProof/>
            <w:webHidden/>
          </w:rPr>
        </w:r>
        <w:r w:rsidR="00784805">
          <w:rPr>
            <w:noProof/>
            <w:webHidden/>
          </w:rPr>
          <w:fldChar w:fldCharType="separate"/>
        </w:r>
        <w:r w:rsidR="0018408C">
          <w:rPr>
            <w:noProof/>
            <w:webHidden/>
          </w:rPr>
          <w:t>43</w:t>
        </w:r>
        <w:r w:rsidR="00784805">
          <w:rPr>
            <w:noProof/>
            <w:webHidden/>
          </w:rPr>
          <w:fldChar w:fldCharType="end"/>
        </w:r>
      </w:hyperlink>
    </w:p>
    <w:p w14:paraId="044DFFAE" w14:textId="69F3EEFF"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64" w:history="1">
        <w:r w:rsidR="00784805" w:rsidRPr="00482C3E">
          <w:rPr>
            <w:rStyle w:val="Hiperpovezava"/>
            <w:noProof/>
          </w:rPr>
          <w:t>Tabela 20: Predlog spremembe kazalnikov učinka</w:t>
        </w:r>
        <w:r w:rsidR="00784805">
          <w:rPr>
            <w:noProof/>
            <w:webHidden/>
          </w:rPr>
          <w:tab/>
        </w:r>
        <w:r w:rsidR="00784805">
          <w:rPr>
            <w:noProof/>
            <w:webHidden/>
          </w:rPr>
          <w:fldChar w:fldCharType="begin"/>
        </w:r>
        <w:r w:rsidR="00784805">
          <w:rPr>
            <w:noProof/>
            <w:webHidden/>
          </w:rPr>
          <w:instrText xml:space="preserve"> PAGEREF _Toc191459964 \h </w:instrText>
        </w:r>
        <w:r w:rsidR="00784805">
          <w:rPr>
            <w:noProof/>
            <w:webHidden/>
          </w:rPr>
        </w:r>
        <w:r w:rsidR="00784805">
          <w:rPr>
            <w:noProof/>
            <w:webHidden/>
          </w:rPr>
          <w:fldChar w:fldCharType="separate"/>
        </w:r>
        <w:r w:rsidR="0018408C">
          <w:rPr>
            <w:noProof/>
            <w:webHidden/>
          </w:rPr>
          <w:t>43</w:t>
        </w:r>
        <w:r w:rsidR="00784805">
          <w:rPr>
            <w:noProof/>
            <w:webHidden/>
          </w:rPr>
          <w:fldChar w:fldCharType="end"/>
        </w:r>
      </w:hyperlink>
    </w:p>
    <w:p w14:paraId="3F5672C1" w14:textId="6D4FE512"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65" w:history="1">
        <w:r w:rsidR="00784805" w:rsidRPr="00482C3E">
          <w:rPr>
            <w:rStyle w:val="Hiperpovezava"/>
            <w:noProof/>
          </w:rPr>
          <w:t>Tabela 21: Predlog spremembe kazalnika rezultata</w:t>
        </w:r>
        <w:r w:rsidR="00784805">
          <w:rPr>
            <w:noProof/>
            <w:webHidden/>
          </w:rPr>
          <w:tab/>
        </w:r>
        <w:r w:rsidR="00784805">
          <w:rPr>
            <w:noProof/>
            <w:webHidden/>
          </w:rPr>
          <w:fldChar w:fldCharType="begin"/>
        </w:r>
        <w:r w:rsidR="00784805">
          <w:rPr>
            <w:noProof/>
            <w:webHidden/>
          </w:rPr>
          <w:instrText xml:space="preserve"> PAGEREF _Toc191459965 \h </w:instrText>
        </w:r>
        <w:r w:rsidR="00784805">
          <w:rPr>
            <w:noProof/>
            <w:webHidden/>
          </w:rPr>
        </w:r>
        <w:r w:rsidR="00784805">
          <w:rPr>
            <w:noProof/>
            <w:webHidden/>
          </w:rPr>
          <w:fldChar w:fldCharType="separate"/>
        </w:r>
        <w:r w:rsidR="0018408C">
          <w:rPr>
            <w:noProof/>
            <w:webHidden/>
          </w:rPr>
          <w:t>44</w:t>
        </w:r>
        <w:r w:rsidR="00784805">
          <w:rPr>
            <w:noProof/>
            <w:webHidden/>
          </w:rPr>
          <w:fldChar w:fldCharType="end"/>
        </w:r>
      </w:hyperlink>
    </w:p>
    <w:p w14:paraId="727D26F5" w14:textId="6EFDC2CD" w:rsidR="00784805" w:rsidRDefault="00BF3635" w:rsidP="00784805">
      <w:pPr>
        <w:pStyle w:val="Kazaloslik"/>
        <w:tabs>
          <w:tab w:val="right" w:leader="dot" w:pos="9062"/>
        </w:tabs>
        <w:jc w:val="both"/>
        <w:rPr>
          <w:rFonts w:asciiTheme="minorHAnsi" w:eastAsiaTheme="minorEastAsia" w:hAnsiTheme="minorHAnsi"/>
          <w:noProof/>
          <w:sz w:val="24"/>
          <w:szCs w:val="24"/>
          <w:lang w:eastAsia="sl-SI"/>
        </w:rPr>
      </w:pPr>
      <w:hyperlink w:anchor="_Toc191459966" w:history="1">
        <w:r w:rsidR="00784805" w:rsidRPr="00482C3E">
          <w:rPr>
            <w:rStyle w:val="Hiperpovezava"/>
            <w:noProof/>
          </w:rPr>
          <w:t>Tabela 22: Sprememba vrednosti v okviru kod razsežnosti »področje ukrepanja«</w:t>
        </w:r>
        <w:r w:rsidR="00784805">
          <w:rPr>
            <w:noProof/>
            <w:webHidden/>
          </w:rPr>
          <w:tab/>
        </w:r>
        <w:r w:rsidR="00784805">
          <w:rPr>
            <w:noProof/>
            <w:webHidden/>
          </w:rPr>
          <w:fldChar w:fldCharType="begin"/>
        </w:r>
        <w:r w:rsidR="00784805">
          <w:rPr>
            <w:noProof/>
            <w:webHidden/>
          </w:rPr>
          <w:instrText xml:space="preserve"> PAGEREF _Toc191459966 \h </w:instrText>
        </w:r>
        <w:r w:rsidR="00784805">
          <w:rPr>
            <w:noProof/>
            <w:webHidden/>
          </w:rPr>
        </w:r>
        <w:r w:rsidR="00784805">
          <w:rPr>
            <w:noProof/>
            <w:webHidden/>
          </w:rPr>
          <w:fldChar w:fldCharType="separate"/>
        </w:r>
        <w:r w:rsidR="0018408C">
          <w:rPr>
            <w:noProof/>
            <w:webHidden/>
          </w:rPr>
          <w:t>59</w:t>
        </w:r>
        <w:r w:rsidR="00784805">
          <w:rPr>
            <w:noProof/>
            <w:webHidden/>
          </w:rPr>
          <w:fldChar w:fldCharType="end"/>
        </w:r>
      </w:hyperlink>
    </w:p>
    <w:p w14:paraId="62E86327" w14:textId="464C84D5" w:rsidR="00390550" w:rsidRDefault="00001AA8" w:rsidP="00784805">
      <w:pPr>
        <w:spacing w:after="0"/>
        <w:jc w:val="both"/>
        <w:rPr>
          <w:rFonts w:cstheme="minorHAnsi"/>
        </w:rPr>
      </w:pPr>
      <w:r>
        <w:rPr>
          <w:rFonts w:cstheme="minorHAnsi"/>
          <w:highlight w:val="yellow"/>
        </w:rPr>
        <w:fldChar w:fldCharType="end"/>
      </w:r>
    </w:p>
    <w:p w14:paraId="188C36A2" w14:textId="77777777" w:rsidR="00784805" w:rsidRDefault="00784805" w:rsidP="00784805">
      <w:pPr>
        <w:spacing w:after="0"/>
        <w:jc w:val="both"/>
        <w:rPr>
          <w:rFonts w:cstheme="minorHAnsi"/>
        </w:rPr>
      </w:pPr>
    </w:p>
    <w:p w14:paraId="0AAF4823" w14:textId="77777777" w:rsidR="00784805" w:rsidRDefault="00784805" w:rsidP="00784805">
      <w:pPr>
        <w:spacing w:after="0"/>
        <w:jc w:val="both"/>
        <w:rPr>
          <w:rFonts w:cstheme="minorHAnsi"/>
        </w:rPr>
      </w:pPr>
    </w:p>
    <w:p w14:paraId="1E581AF5" w14:textId="77777777" w:rsidR="00784805" w:rsidRDefault="00784805" w:rsidP="00784805">
      <w:pPr>
        <w:spacing w:after="0"/>
        <w:jc w:val="both"/>
        <w:rPr>
          <w:rFonts w:cstheme="minorHAnsi"/>
        </w:rPr>
      </w:pPr>
    </w:p>
    <w:p w14:paraId="196352DF" w14:textId="77777777" w:rsidR="00784805" w:rsidRDefault="00784805" w:rsidP="00784805">
      <w:pPr>
        <w:spacing w:after="0"/>
        <w:jc w:val="both"/>
        <w:rPr>
          <w:rFonts w:cstheme="minorHAnsi"/>
        </w:rPr>
      </w:pPr>
    </w:p>
    <w:p w14:paraId="4792BA36" w14:textId="77777777" w:rsidR="00784805" w:rsidRDefault="00784805" w:rsidP="00784805">
      <w:pPr>
        <w:spacing w:after="0"/>
        <w:jc w:val="both"/>
        <w:rPr>
          <w:rFonts w:cstheme="minorHAnsi"/>
        </w:rPr>
      </w:pPr>
    </w:p>
    <w:p w14:paraId="5852494B" w14:textId="77777777" w:rsidR="00784805" w:rsidRDefault="00784805" w:rsidP="00784805">
      <w:pPr>
        <w:spacing w:after="0"/>
        <w:jc w:val="both"/>
        <w:rPr>
          <w:rFonts w:cstheme="minorHAnsi"/>
        </w:rPr>
      </w:pPr>
    </w:p>
    <w:p w14:paraId="1A49D529" w14:textId="77777777" w:rsidR="00784805" w:rsidRDefault="00784805" w:rsidP="00784805">
      <w:pPr>
        <w:spacing w:after="0"/>
        <w:jc w:val="both"/>
        <w:rPr>
          <w:rFonts w:cstheme="minorHAnsi"/>
          <w:color w:val="4472C4" w:themeColor="accent1"/>
          <w:sz w:val="24"/>
          <w:szCs w:val="24"/>
        </w:rPr>
      </w:pPr>
    </w:p>
    <w:p w14:paraId="4332B758" w14:textId="20A48754" w:rsidR="00B836E6" w:rsidRPr="001A2407" w:rsidRDefault="00164689" w:rsidP="00001AA8">
      <w:pPr>
        <w:spacing w:after="0"/>
        <w:rPr>
          <w:rFonts w:cstheme="minorHAnsi"/>
          <w:color w:val="4472C4" w:themeColor="accent1"/>
          <w:sz w:val="24"/>
          <w:szCs w:val="24"/>
        </w:rPr>
      </w:pPr>
      <w:r w:rsidRPr="001A2407">
        <w:rPr>
          <w:rFonts w:cstheme="minorHAnsi"/>
          <w:color w:val="4472C4" w:themeColor="accent1"/>
          <w:sz w:val="24"/>
          <w:szCs w:val="24"/>
        </w:rPr>
        <w:lastRenderedPageBreak/>
        <w:t>KRATICE, OKRAJŠAVE IN POMEN IZRAZOV</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371"/>
      </w:tblGrid>
      <w:tr w:rsidR="00001AA8" w:rsidRPr="00001AA8" w14:paraId="5A1A82B2" w14:textId="77777777" w:rsidTr="00B93695">
        <w:tc>
          <w:tcPr>
            <w:tcW w:w="1588" w:type="dxa"/>
            <w:shd w:val="clear" w:color="auto" w:fill="auto"/>
            <w:vAlign w:val="center"/>
          </w:tcPr>
          <w:p w14:paraId="12486ACE" w14:textId="23EC1027" w:rsidR="00001AA8" w:rsidRPr="001B450C" w:rsidRDefault="006C5ADC" w:rsidP="00F65513">
            <w:pPr>
              <w:tabs>
                <w:tab w:val="left" w:pos="567"/>
              </w:tabs>
              <w:spacing w:after="0" w:line="240" w:lineRule="auto"/>
              <w:rPr>
                <w:rFonts w:eastAsia="SimSun" w:cstheme="minorHAnsi"/>
                <w:bCs/>
                <w:lang w:eastAsia="zh-CN"/>
              </w:rPr>
            </w:pPr>
            <w:r w:rsidRPr="001B450C">
              <w:rPr>
                <w:rFonts w:eastAsia="SimSun" w:cstheme="minorHAnsi"/>
                <w:bCs/>
                <w:lang w:eastAsia="zh-CN"/>
              </w:rPr>
              <w:t>ARIS</w:t>
            </w:r>
          </w:p>
        </w:tc>
        <w:tc>
          <w:tcPr>
            <w:tcW w:w="7371" w:type="dxa"/>
            <w:shd w:val="clear" w:color="auto" w:fill="auto"/>
            <w:vAlign w:val="center"/>
          </w:tcPr>
          <w:p w14:paraId="7F361D99" w14:textId="35B6740F" w:rsidR="00001AA8" w:rsidRPr="001B450C" w:rsidRDefault="005F60F5" w:rsidP="00C1201D">
            <w:pPr>
              <w:spacing w:after="0" w:line="240" w:lineRule="auto"/>
              <w:jc w:val="both"/>
              <w:rPr>
                <w:rFonts w:eastAsia="SimSun" w:cstheme="minorHAnsi"/>
                <w:lang w:eastAsia="zh-CN"/>
              </w:rPr>
            </w:pPr>
            <w:r w:rsidRPr="001B450C">
              <w:rPr>
                <w:rFonts w:eastAsia="SimSun" w:cstheme="minorHAnsi"/>
                <w:lang w:eastAsia="zh-CN"/>
              </w:rPr>
              <w:t>Javna agencija za znanstvenoraziskovalno in inovacijsko dejavnost Republike Slovenije</w:t>
            </w:r>
          </w:p>
        </w:tc>
      </w:tr>
      <w:tr w:rsidR="00001AA8" w:rsidRPr="00001AA8" w14:paraId="4AC7DC89" w14:textId="77777777" w:rsidTr="00B93695">
        <w:tc>
          <w:tcPr>
            <w:tcW w:w="1588" w:type="dxa"/>
            <w:shd w:val="clear" w:color="auto" w:fill="auto"/>
            <w:vAlign w:val="center"/>
          </w:tcPr>
          <w:p w14:paraId="7C1A4880" w14:textId="77777777" w:rsidR="00001AA8" w:rsidRPr="001B450C" w:rsidRDefault="00001AA8" w:rsidP="00F65513">
            <w:pPr>
              <w:tabs>
                <w:tab w:val="left" w:pos="567"/>
              </w:tabs>
              <w:spacing w:after="0" w:line="240" w:lineRule="auto"/>
              <w:rPr>
                <w:rFonts w:eastAsia="SimSun" w:cstheme="minorHAnsi"/>
                <w:bCs/>
                <w:lang w:eastAsia="zh-CN"/>
              </w:rPr>
            </w:pPr>
            <w:r w:rsidRPr="001B450C">
              <w:rPr>
                <w:rFonts w:eastAsia="SimSun" w:cstheme="minorHAnsi"/>
                <w:bCs/>
                <w:lang w:eastAsia="zh-CN"/>
              </w:rPr>
              <w:t>EKP</w:t>
            </w:r>
          </w:p>
        </w:tc>
        <w:tc>
          <w:tcPr>
            <w:tcW w:w="7371" w:type="dxa"/>
            <w:shd w:val="clear" w:color="auto" w:fill="auto"/>
            <w:vAlign w:val="center"/>
          </w:tcPr>
          <w:p w14:paraId="175C4B77" w14:textId="49F44C28" w:rsidR="00001AA8" w:rsidRPr="001B450C" w:rsidRDefault="002A6041" w:rsidP="00C1201D">
            <w:pPr>
              <w:tabs>
                <w:tab w:val="left" w:pos="567"/>
              </w:tabs>
              <w:spacing w:after="0" w:line="240" w:lineRule="auto"/>
              <w:jc w:val="both"/>
              <w:rPr>
                <w:rFonts w:eastAsia="SimSun" w:cstheme="minorHAnsi"/>
                <w:bCs/>
                <w:lang w:eastAsia="zh-CN"/>
              </w:rPr>
            </w:pPr>
            <w:r>
              <w:rPr>
                <w:rFonts w:eastAsia="SimSun" w:cstheme="minorHAnsi"/>
                <w:bCs/>
                <w:lang w:eastAsia="zh-CN"/>
              </w:rPr>
              <w:t>E</w:t>
            </w:r>
            <w:r w:rsidRPr="001B450C">
              <w:rPr>
                <w:rFonts w:eastAsia="SimSun" w:cstheme="minorHAnsi"/>
                <w:bCs/>
                <w:lang w:eastAsia="zh-CN"/>
              </w:rPr>
              <w:t xml:space="preserve">vropska </w:t>
            </w:r>
            <w:r w:rsidR="00001AA8" w:rsidRPr="001B450C">
              <w:rPr>
                <w:rFonts w:eastAsia="SimSun" w:cstheme="minorHAnsi"/>
                <w:bCs/>
                <w:lang w:eastAsia="zh-CN"/>
              </w:rPr>
              <w:t>kohezijska politika</w:t>
            </w:r>
          </w:p>
        </w:tc>
      </w:tr>
      <w:tr w:rsidR="00001AA8" w:rsidRPr="00001AA8" w14:paraId="7476940F" w14:textId="77777777" w:rsidTr="00B93695">
        <w:tc>
          <w:tcPr>
            <w:tcW w:w="1588" w:type="dxa"/>
            <w:shd w:val="clear" w:color="auto" w:fill="auto"/>
            <w:vAlign w:val="center"/>
          </w:tcPr>
          <w:p w14:paraId="0A94ECEC" w14:textId="4462CB66" w:rsidR="00001AA8" w:rsidRPr="00F07FA7" w:rsidRDefault="00001AA8" w:rsidP="00F65513">
            <w:pPr>
              <w:tabs>
                <w:tab w:val="left" w:pos="567"/>
              </w:tabs>
              <w:spacing w:after="0" w:line="240" w:lineRule="auto"/>
              <w:rPr>
                <w:rFonts w:eastAsia="SimSun" w:cstheme="minorHAnsi"/>
                <w:bCs/>
                <w:lang w:eastAsia="zh-CN"/>
              </w:rPr>
            </w:pPr>
            <w:r w:rsidRPr="00F07FA7">
              <w:rPr>
                <w:rFonts w:eastAsia="SimSun" w:cstheme="minorHAnsi"/>
                <w:bCs/>
                <w:lang w:eastAsia="zh-CN"/>
              </w:rPr>
              <w:t>e-MA</w:t>
            </w:r>
            <w:r w:rsidR="00170CEB" w:rsidRPr="00F07FA7">
              <w:rPr>
                <w:rFonts w:eastAsia="SimSun" w:cstheme="minorHAnsi"/>
                <w:bCs/>
                <w:lang w:eastAsia="zh-CN"/>
              </w:rPr>
              <w:t>2</w:t>
            </w:r>
          </w:p>
        </w:tc>
        <w:tc>
          <w:tcPr>
            <w:tcW w:w="7371" w:type="dxa"/>
            <w:shd w:val="clear" w:color="auto" w:fill="auto"/>
            <w:vAlign w:val="center"/>
          </w:tcPr>
          <w:p w14:paraId="0E51D575" w14:textId="77777777" w:rsidR="00001AA8" w:rsidRPr="00F07FA7" w:rsidRDefault="00001AA8" w:rsidP="00C1201D">
            <w:pPr>
              <w:tabs>
                <w:tab w:val="left" w:pos="567"/>
              </w:tabs>
              <w:spacing w:after="0" w:line="240" w:lineRule="auto"/>
              <w:jc w:val="both"/>
              <w:rPr>
                <w:rFonts w:cstheme="minorHAnsi"/>
              </w:rPr>
            </w:pPr>
            <w:r w:rsidRPr="00F07FA7">
              <w:rPr>
                <w:rFonts w:cstheme="minorHAnsi"/>
              </w:rPr>
              <w:t>informacijski sistem organa upravljanja</w:t>
            </w:r>
          </w:p>
        </w:tc>
      </w:tr>
      <w:tr w:rsidR="006C5ADC" w:rsidRPr="00001AA8" w14:paraId="6CF538CA" w14:textId="77777777" w:rsidTr="00B93695">
        <w:tc>
          <w:tcPr>
            <w:tcW w:w="1588" w:type="dxa"/>
            <w:shd w:val="clear" w:color="auto" w:fill="auto"/>
            <w:vAlign w:val="center"/>
          </w:tcPr>
          <w:p w14:paraId="60E83665" w14:textId="3EA8B906" w:rsidR="006C5ADC" w:rsidRPr="00F07FA7" w:rsidRDefault="006C5ADC" w:rsidP="00F65513">
            <w:pPr>
              <w:tabs>
                <w:tab w:val="left" w:pos="567"/>
              </w:tabs>
              <w:spacing w:after="0" w:line="240" w:lineRule="auto"/>
              <w:rPr>
                <w:rFonts w:eastAsia="SimSun" w:cstheme="minorHAnsi"/>
                <w:bCs/>
                <w:lang w:eastAsia="zh-CN"/>
              </w:rPr>
            </w:pPr>
            <w:r w:rsidRPr="00F07FA7">
              <w:rPr>
                <w:rFonts w:eastAsia="SimSun" w:cstheme="minorHAnsi"/>
                <w:bCs/>
                <w:lang w:eastAsia="zh-CN"/>
              </w:rPr>
              <w:t>ESS+</w:t>
            </w:r>
          </w:p>
        </w:tc>
        <w:tc>
          <w:tcPr>
            <w:tcW w:w="7371" w:type="dxa"/>
            <w:shd w:val="clear" w:color="auto" w:fill="auto"/>
            <w:vAlign w:val="center"/>
          </w:tcPr>
          <w:p w14:paraId="477BA1A6" w14:textId="3F118658" w:rsidR="006C5ADC" w:rsidRPr="00F07FA7" w:rsidRDefault="00170CEB" w:rsidP="00C1201D">
            <w:pPr>
              <w:tabs>
                <w:tab w:val="left" w:pos="567"/>
              </w:tabs>
              <w:spacing w:after="0" w:line="240" w:lineRule="auto"/>
              <w:jc w:val="both"/>
              <w:rPr>
                <w:rFonts w:eastAsia="SimSun" w:cstheme="minorHAnsi"/>
                <w:bCs/>
                <w:lang w:eastAsia="zh-CN"/>
              </w:rPr>
            </w:pPr>
            <w:r w:rsidRPr="00F07FA7">
              <w:rPr>
                <w:rFonts w:eastAsia="SimSun" w:cstheme="minorHAnsi"/>
                <w:bCs/>
                <w:lang w:eastAsia="zh-CN"/>
              </w:rPr>
              <w:t>Evropski socialni sklad plus</w:t>
            </w:r>
          </w:p>
        </w:tc>
      </w:tr>
      <w:tr w:rsidR="00001AA8" w:rsidRPr="00001AA8" w14:paraId="6CB5C198" w14:textId="77777777" w:rsidTr="00B93695">
        <w:tc>
          <w:tcPr>
            <w:tcW w:w="1588" w:type="dxa"/>
            <w:shd w:val="clear" w:color="auto" w:fill="auto"/>
            <w:vAlign w:val="center"/>
          </w:tcPr>
          <w:p w14:paraId="041B0A40" w14:textId="14F6AF99" w:rsidR="00001AA8" w:rsidRPr="00F07FA7" w:rsidRDefault="00001AA8" w:rsidP="00F65513">
            <w:pPr>
              <w:tabs>
                <w:tab w:val="left" w:pos="567"/>
              </w:tabs>
              <w:spacing w:after="0" w:line="240" w:lineRule="auto"/>
              <w:rPr>
                <w:rFonts w:eastAsia="SimSun" w:cstheme="minorHAnsi"/>
                <w:bCs/>
                <w:lang w:eastAsia="zh-CN"/>
              </w:rPr>
            </w:pPr>
            <w:r w:rsidRPr="00F07FA7">
              <w:rPr>
                <w:rFonts w:eastAsia="SimSun" w:cstheme="minorHAnsi"/>
                <w:bCs/>
                <w:lang w:eastAsia="zh-CN"/>
              </w:rPr>
              <w:t>ES</w:t>
            </w:r>
            <w:r w:rsidR="006C5ADC" w:rsidRPr="00F07FA7">
              <w:rPr>
                <w:rFonts w:eastAsia="SimSun" w:cstheme="minorHAnsi"/>
                <w:bCs/>
                <w:lang w:eastAsia="zh-CN"/>
              </w:rPr>
              <w:t>RR</w:t>
            </w:r>
          </w:p>
        </w:tc>
        <w:tc>
          <w:tcPr>
            <w:tcW w:w="7371" w:type="dxa"/>
            <w:shd w:val="clear" w:color="auto" w:fill="auto"/>
            <w:vAlign w:val="center"/>
          </w:tcPr>
          <w:p w14:paraId="658CFC3E" w14:textId="6BD46336" w:rsidR="00001AA8" w:rsidRPr="00F07FA7" w:rsidRDefault="00170CEB" w:rsidP="00C1201D">
            <w:pPr>
              <w:tabs>
                <w:tab w:val="left" w:pos="567"/>
              </w:tabs>
              <w:spacing w:after="0" w:line="240" w:lineRule="auto"/>
              <w:jc w:val="both"/>
              <w:rPr>
                <w:rFonts w:eastAsia="SimSun" w:cstheme="minorHAnsi"/>
                <w:bCs/>
                <w:lang w:eastAsia="zh-CN"/>
              </w:rPr>
            </w:pPr>
            <w:r w:rsidRPr="00F07FA7">
              <w:rPr>
                <w:rFonts w:eastAsia="SimSun" w:cstheme="minorHAnsi"/>
                <w:bCs/>
                <w:lang w:eastAsia="zh-CN"/>
              </w:rPr>
              <w:t>Evropski sklad za regionalni razvoj</w:t>
            </w:r>
          </w:p>
        </w:tc>
      </w:tr>
      <w:tr w:rsidR="00001AA8" w:rsidRPr="00001AA8" w14:paraId="580BC952" w14:textId="77777777" w:rsidTr="00B93695">
        <w:tc>
          <w:tcPr>
            <w:tcW w:w="1588" w:type="dxa"/>
            <w:shd w:val="clear" w:color="auto" w:fill="auto"/>
            <w:vAlign w:val="center"/>
          </w:tcPr>
          <w:p w14:paraId="59D9B46C" w14:textId="77777777" w:rsidR="00001AA8" w:rsidRPr="00F07FA7" w:rsidRDefault="00001AA8" w:rsidP="00F65513">
            <w:pPr>
              <w:tabs>
                <w:tab w:val="left" w:pos="567"/>
              </w:tabs>
              <w:spacing w:after="0" w:line="240" w:lineRule="auto"/>
              <w:rPr>
                <w:rFonts w:eastAsia="SimSun" w:cstheme="minorHAnsi"/>
                <w:bCs/>
                <w:lang w:eastAsia="zh-CN"/>
              </w:rPr>
            </w:pPr>
            <w:r w:rsidRPr="00F07FA7">
              <w:rPr>
                <w:rFonts w:eastAsia="SimSun" w:cstheme="minorHAnsi"/>
                <w:bCs/>
                <w:lang w:eastAsia="zh-CN"/>
              </w:rPr>
              <w:t>EU</w:t>
            </w:r>
          </w:p>
        </w:tc>
        <w:tc>
          <w:tcPr>
            <w:tcW w:w="7371" w:type="dxa"/>
            <w:shd w:val="clear" w:color="auto" w:fill="auto"/>
            <w:vAlign w:val="center"/>
          </w:tcPr>
          <w:p w14:paraId="0FEB7C49" w14:textId="77777777" w:rsidR="00001AA8" w:rsidRPr="00F07FA7" w:rsidRDefault="00001AA8" w:rsidP="00C1201D">
            <w:pPr>
              <w:tabs>
                <w:tab w:val="left" w:pos="567"/>
              </w:tabs>
              <w:spacing w:after="0" w:line="240" w:lineRule="auto"/>
              <w:jc w:val="both"/>
              <w:rPr>
                <w:rFonts w:eastAsia="SimSun" w:cstheme="minorHAnsi"/>
                <w:bCs/>
                <w:lang w:eastAsia="zh-CN"/>
              </w:rPr>
            </w:pPr>
            <w:r w:rsidRPr="00F07FA7">
              <w:rPr>
                <w:rFonts w:eastAsia="SimSun" w:cstheme="minorHAnsi"/>
                <w:bCs/>
                <w:lang w:eastAsia="zh-CN"/>
              </w:rPr>
              <w:t>Evropska unija</w:t>
            </w:r>
          </w:p>
        </w:tc>
      </w:tr>
      <w:tr w:rsidR="006C5ADC" w:rsidRPr="00001AA8" w14:paraId="4B34A8F4" w14:textId="77777777" w:rsidTr="00B93695">
        <w:tc>
          <w:tcPr>
            <w:tcW w:w="1588" w:type="dxa"/>
            <w:shd w:val="clear" w:color="auto" w:fill="auto"/>
            <w:vAlign w:val="center"/>
          </w:tcPr>
          <w:p w14:paraId="2D48AB77" w14:textId="17879AD7" w:rsidR="006C5ADC" w:rsidRPr="00F07FA7" w:rsidRDefault="006C5ADC" w:rsidP="00F65513">
            <w:pPr>
              <w:tabs>
                <w:tab w:val="left" w:pos="567"/>
              </w:tabs>
              <w:spacing w:after="0" w:line="240" w:lineRule="auto"/>
              <w:rPr>
                <w:rFonts w:eastAsia="SimSun" w:cstheme="minorHAnsi"/>
                <w:bCs/>
                <w:lang w:eastAsia="zh-CN"/>
              </w:rPr>
            </w:pPr>
            <w:r w:rsidRPr="00F07FA7">
              <w:rPr>
                <w:rFonts w:eastAsia="SimSun" w:cstheme="minorHAnsi"/>
                <w:bCs/>
                <w:lang w:eastAsia="zh-CN"/>
              </w:rPr>
              <w:t>KS</w:t>
            </w:r>
          </w:p>
        </w:tc>
        <w:tc>
          <w:tcPr>
            <w:tcW w:w="7371" w:type="dxa"/>
            <w:shd w:val="clear" w:color="auto" w:fill="auto"/>
            <w:vAlign w:val="center"/>
          </w:tcPr>
          <w:p w14:paraId="57E6C587" w14:textId="39391F3D" w:rsidR="006C5ADC" w:rsidRPr="00F07FA7" w:rsidRDefault="005F60F5" w:rsidP="00C1201D">
            <w:pPr>
              <w:tabs>
                <w:tab w:val="left" w:pos="567"/>
              </w:tabs>
              <w:spacing w:after="0" w:line="240" w:lineRule="auto"/>
              <w:jc w:val="both"/>
              <w:rPr>
                <w:rFonts w:eastAsia="MS Mincho" w:cstheme="minorHAnsi"/>
              </w:rPr>
            </w:pPr>
            <w:r w:rsidRPr="00F07FA7">
              <w:rPr>
                <w:rFonts w:eastAsia="MS Mincho" w:cstheme="minorHAnsi"/>
              </w:rPr>
              <w:t>Kohezijski sklad</w:t>
            </w:r>
          </w:p>
        </w:tc>
      </w:tr>
      <w:tr w:rsidR="00001AA8" w:rsidRPr="00001AA8" w14:paraId="6607C6FE" w14:textId="77777777" w:rsidTr="00B93695">
        <w:tc>
          <w:tcPr>
            <w:tcW w:w="1588" w:type="dxa"/>
            <w:shd w:val="clear" w:color="auto" w:fill="auto"/>
            <w:vAlign w:val="center"/>
          </w:tcPr>
          <w:p w14:paraId="79563A3C" w14:textId="77777777" w:rsidR="00001AA8" w:rsidRPr="00F07FA7" w:rsidRDefault="00001AA8" w:rsidP="00F65513">
            <w:pPr>
              <w:tabs>
                <w:tab w:val="left" w:pos="567"/>
              </w:tabs>
              <w:spacing w:after="0" w:line="240" w:lineRule="auto"/>
              <w:rPr>
                <w:rFonts w:eastAsia="SimSun" w:cstheme="minorHAnsi"/>
                <w:bCs/>
                <w:lang w:eastAsia="zh-CN"/>
              </w:rPr>
            </w:pPr>
            <w:r w:rsidRPr="00F07FA7">
              <w:rPr>
                <w:rFonts w:eastAsia="SimSun" w:cstheme="minorHAnsi"/>
                <w:bCs/>
                <w:lang w:eastAsia="zh-CN"/>
              </w:rPr>
              <w:t>MDP</w:t>
            </w:r>
          </w:p>
        </w:tc>
        <w:tc>
          <w:tcPr>
            <w:tcW w:w="7371" w:type="dxa"/>
            <w:shd w:val="clear" w:color="auto" w:fill="auto"/>
            <w:vAlign w:val="center"/>
          </w:tcPr>
          <w:p w14:paraId="7C04FA6B" w14:textId="77777777" w:rsidR="00001AA8" w:rsidRPr="00F07FA7" w:rsidRDefault="00001AA8" w:rsidP="00C1201D">
            <w:pPr>
              <w:tabs>
                <w:tab w:val="left" w:pos="567"/>
              </w:tabs>
              <w:spacing w:after="0" w:line="240" w:lineRule="auto"/>
              <w:jc w:val="both"/>
              <w:rPr>
                <w:rFonts w:cstheme="minorHAnsi"/>
              </w:rPr>
            </w:pPr>
            <w:r w:rsidRPr="00F07FA7">
              <w:rPr>
                <w:rFonts w:cstheme="minorHAnsi"/>
              </w:rPr>
              <w:t xml:space="preserve">Ministrstvo za digitalno preobrazbo </w:t>
            </w:r>
          </w:p>
        </w:tc>
      </w:tr>
      <w:tr w:rsidR="00001AA8" w:rsidRPr="00001AA8" w14:paraId="6686CE85" w14:textId="77777777" w:rsidTr="00B93695">
        <w:tc>
          <w:tcPr>
            <w:tcW w:w="1588" w:type="dxa"/>
            <w:shd w:val="clear" w:color="auto" w:fill="auto"/>
            <w:vAlign w:val="center"/>
          </w:tcPr>
          <w:p w14:paraId="5369DC4F" w14:textId="77777777" w:rsidR="00001AA8" w:rsidRPr="00F07FA7" w:rsidRDefault="00001AA8" w:rsidP="00F65513">
            <w:pPr>
              <w:tabs>
                <w:tab w:val="left" w:pos="567"/>
              </w:tabs>
              <w:spacing w:after="0" w:line="240" w:lineRule="auto"/>
              <w:rPr>
                <w:rFonts w:eastAsia="SimSun" w:cstheme="minorHAnsi"/>
                <w:bCs/>
                <w:lang w:eastAsia="zh-CN"/>
              </w:rPr>
            </w:pPr>
            <w:r w:rsidRPr="00F07FA7">
              <w:rPr>
                <w:rFonts w:eastAsia="SimSun" w:cstheme="minorHAnsi"/>
                <w:bCs/>
                <w:lang w:eastAsia="zh-CN"/>
              </w:rPr>
              <w:t>MDDSZ</w:t>
            </w:r>
          </w:p>
        </w:tc>
        <w:tc>
          <w:tcPr>
            <w:tcW w:w="7371" w:type="dxa"/>
            <w:shd w:val="clear" w:color="auto" w:fill="auto"/>
            <w:vAlign w:val="center"/>
          </w:tcPr>
          <w:p w14:paraId="1F359AF8" w14:textId="77777777" w:rsidR="00001AA8" w:rsidRPr="00F07FA7" w:rsidRDefault="00001AA8" w:rsidP="00C1201D">
            <w:pPr>
              <w:tabs>
                <w:tab w:val="left" w:pos="567"/>
              </w:tabs>
              <w:spacing w:after="0" w:line="240" w:lineRule="auto"/>
              <w:jc w:val="both"/>
              <w:rPr>
                <w:rFonts w:cstheme="minorHAnsi"/>
              </w:rPr>
            </w:pPr>
            <w:r w:rsidRPr="00F07FA7">
              <w:rPr>
                <w:rFonts w:eastAsia="SimSun" w:cstheme="minorHAnsi"/>
                <w:bCs/>
                <w:lang w:eastAsia="zh-CN"/>
              </w:rPr>
              <w:t>Ministrstvo za delo, družino, socialne zadeve in enake možnosti</w:t>
            </w:r>
          </w:p>
        </w:tc>
      </w:tr>
      <w:tr w:rsidR="00E014FF" w:rsidRPr="00001AA8" w14:paraId="176EC4CA" w14:textId="77777777" w:rsidTr="00B93695">
        <w:tc>
          <w:tcPr>
            <w:tcW w:w="1588" w:type="dxa"/>
            <w:shd w:val="clear" w:color="auto" w:fill="auto"/>
            <w:vAlign w:val="center"/>
          </w:tcPr>
          <w:p w14:paraId="01D180D0" w14:textId="5F0C55C6" w:rsidR="00E014FF" w:rsidRPr="00F07FA7" w:rsidRDefault="00E014FF" w:rsidP="00E014FF">
            <w:pPr>
              <w:tabs>
                <w:tab w:val="left" w:pos="567"/>
              </w:tabs>
              <w:spacing w:after="0" w:line="240" w:lineRule="auto"/>
              <w:rPr>
                <w:rFonts w:eastAsia="SimSun" w:cstheme="minorHAnsi"/>
                <w:bCs/>
                <w:lang w:eastAsia="zh-CN"/>
              </w:rPr>
            </w:pPr>
            <w:r w:rsidRPr="00F07FA7">
              <w:rPr>
                <w:rFonts w:cstheme="minorHAnsi"/>
              </w:rPr>
              <w:t>MF</w:t>
            </w:r>
          </w:p>
        </w:tc>
        <w:tc>
          <w:tcPr>
            <w:tcW w:w="7371" w:type="dxa"/>
            <w:shd w:val="clear" w:color="auto" w:fill="auto"/>
            <w:vAlign w:val="center"/>
          </w:tcPr>
          <w:p w14:paraId="5D476807" w14:textId="77437DFE" w:rsidR="00E014FF" w:rsidRPr="00F07FA7" w:rsidRDefault="00E014FF" w:rsidP="00C1201D">
            <w:pPr>
              <w:tabs>
                <w:tab w:val="left" w:pos="567"/>
              </w:tabs>
              <w:spacing w:after="0" w:line="240" w:lineRule="auto"/>
              <w:jc w:val="both"/>
              <w:rPr>
                <w:rFonts w:eastAsia="SimSun"/>
                <w:lang w:eastAsia="zh-CN"/>
              </w:rPr>
            </w:pPr>
            <w:r w:rsidRPr="72DA5B3D">
              <w:rPr>
                <w:rFonts w:eastAsia="SimSun"/>
                <w:lang w:eastAsia="zh-CN"/>
              </w:rPr>
              <w:t>Ministrstvo za finance</w:t>
            </w:r>
          </w:p>
        </w:tc>
      </w:tr>
      <w:tr w:rsidR="00E014FF" w:rsidRPr="00001AA8" w14:paraId="2B5B6B58" w14:textId="77777777" w:rsidTr="00B93695">
        <w:tc>
          <w:tcPr>
            <w:tcW w:w="1588" w:type="dxa"/>
            <w:shd w:val="clear" w:color="auto" w:fill="auto"/>
            <w:vAlign w:val="center"/>
          </w:tcPr>
          <w:p w14:paraId="205BBBBB" w14:textId="77777777" w:rsidR="00E014FF" w:rsidRPr="00F07FA7" w:rsidRDefault="00E014FF" w:rsidP="00E014FF">
            <w:pPr>
              <w:tabs>
                <w:tab w:val="left" w:pos="567"/>
              </w:tabs>
              <w:spacing w:after="0" w:line="240" w:lineRule="auto"/>
              <w:rPr>
                <w:rFonts w:eastAsia="SimSun" w:cstheme="minorHAnsi"/>
                <w:bCs/>
                <w:lang w:eastAsia="zh-CN"/>
              </w:rPr>
            </w:pPr>
            <w:r w:rsidRPr="00F07FA7">
              <w:rPr>
                <w:rFonts w:eastAsia="SimSun" w:cstheme="minorHAnsi"/>
                <w:bCs/>
                <w:lang w:eastAsia="zh-CN"/>
              </w:rPr>
              <w:t>MGTŠ</w:t>
            </w:r>
          </w:p>
        </w:tc>
        <w:tc>
          <w:tcPr>
            <w:tcW w:w="7371" w:type="dxa"/>
            <w:shd w:val="clear" w:color="auto" w:fill="auto"/>
            <w:vAlign w:val="center"/>
          </w:tcPr>
          <w:p w14:paraId="7A3DAE7A" w14:textId="77777777" w:rsidR="00E014FF" w:rsidRPr="00F07FA7" w:rsidRDefault="00E014FF" w:rsidP="00C1201D">
            <w:pPr>
              <w:tabs>
                <w:tab w:val="left" w:pos="567"/>
              </w:tabs>
              <w:spacing w:after="0" w:line="240" w:lineRule="auto"/>
              <w:jc w:val="both"/>
              <w:rPr>
                <w:rFonts w:eastAsia="SimSun" w:cstheme="minorHAnsi"/>
                <w:bCs/>
                <w:lang w:eastAsia="zh-CN"/>
              </w:rPr>
            </w:pPr>
            <w:r w:rsidRPr="00F07FA7">
              <w:rPr>
                <w:rFonts w:eastAsia="SimSun" w:cstheme="minorHAnsi"/>
                <w:bCs/>
                <w:lang w:eastAsia="zh-CN"/>
              </w:rPr>
              <w:t>Ministrstvo za gospodarstvo, turizem in šport</w:t>
            </w:r>
          </w:p>
        </w:tc>
      </w:tr>
      <w:tr w:rsidR="00E014FF" w:rsidRPr="00001AA8" w14:paraId="3F3C3445" w14:textId="77777777" w:rsidTr="00B93695">
        <w:tc>
          <w:tcPr>
            <w:tcW w:w="1588" w:type="dxa"/>
            <w:shd w:val="clear" w:color="auto" w:fill="auto"/>
            <w:vAlign w:val="center"/>
          </w:tcPr>
          <w:p w14:paraId="41904461" w14:textId="37A1D3DC" w:rsidR="00E014FF" w:rsidRPr="00F07FA7" w:rsidRDefault="00E014FF" w:rsidP="00E014FF">
            <w:pPr>
              <w:tabs>
                <w:tab w:val="left" w:pos="567"/>
              </w:tabs>
              <w:spacing w:after="0" w:line="240" w:lineRule="auto"/>
              <w:rPr>
                <w:rFonts w:eastAsia="SimSun" w:cstheme="minorHAnsi"/>
                <w:bCs/>
                <w:lang w:eastAsia="zh-CN"/>
              </w:rPr>
            </w:pPr>
            <w:r w:rsidRPr="00F07FA7">
              <w:rPr>
                <w:rFonts w:eastAsia="SimSun" w:cstheme="minorHAnsi"/>
                <w:bCs/>
                <w:lang w:eastAsia="zh-CN"/>
              </w:rPr>
              <w:t>MSP</w:t>
            </w:r>
          </w:p>
        </w:tc>
        <w:tc>
          <w:tcPr>
            <w:tcW w:w="7371" w:type="dxa"/>
            <w:shd w:val="clear" w:color="auto" w:fill="auto"/>
            <w:vAlign w:val="center"/>
          </w:tcPr>
          <w:p w14:paraId="569C24CA" w14:textId="56497C35" w:rsidR="00E014FF" w:rsidRPr="00F07FA7" w:rsidRDefault="00E014FF" w:rsidP="00C1201D">
            <w:pPr>
              <w:tabs>
                <w:tab w:val="left" w:pos="567"/>
              </w:tabs>
              <w:spacing w:after="0" w:line="240" w:lineRule="auto"/>
              <w:jc w:val="both"/>
              <w:rPr>
                <w:rFonts w:eastAsia="SimSun" w:cstheme="minorHAnsi"/>
                <w:bCs/>
                <w:lang w:eastAsia="zh-CN"/>
              </w:rPr>
            </w:pPr>
            <w:r w:rsidRPr="00F07FA7">
              <w:rPr>
                <w:rFonts w:eastAsia="SimSun" w:cstheme="minorHAnsi"/>
                <w:bCs/>
                <w:lang w:eastAsia="zh-CN"/>
              </w:rPr>
              <w:t>Ministrstvo za solidarno prihodnost</w:t>
            </w:r>
          </w:p>
        </w:tc>
      </w:tr>
      <w:tr w:rsidR="00E014FF" w:rsidRPr="00001AA8" w14:paraId="4DF9FB3A" w14:textId="77777777" w:rsidTr="00B93695">
        <w:tc>
          <w:tcPr>
            <w:tcW w:w="1588" w:type="dxa"/>
            <w:shd w:val="clear" w:color="auto" w:fill="auto"/>
            <w:vAlign w:val="center"/>
          </w:tcPr>
          <w:p w14:paraId="306458BD" w14:textId="6836B94F" w:rsidR="00E014FF" w:rsidRPr="00F07FA7" w:rsidRDefault="00E014FF" w:rsidP="00E014FF">
            <w:pPr>
              <w:tabs>
                <w:tab w:val="left" w:pos="567"/>
              </w:tabs>
              <w:spacing w:after="0" w:line="240" w:lineRule="auto"/>
              <w:rPr>
                <w:rFonts w:eastAsia="SimSun" w:cstheme="minorHAnsi"/>
                <w:bCs/>
                <w:lang w:eastAsia="zh-CN"/>
              </w:rPr>
            </w:pPr>
            <w:r w:rsidRPr="00F07FA7">
              <w:rPr>
                <w:rFonts w:eastAsia="SimSun" w:cstheme="minorHAnsi"/>
                <w:bCs/>
                <w:lang w:eastAsia="zh-CN"/>
              </w:rPr>
              <w:t>MJU</w:t>
            </w:r>
          </w:p>
        </w:tc>
        <w:tc>
          <w:tcPr>
            <w:tcW w:w="7371" w:type="dxa"/>
            <w:shd w:val="clear" w:color="auto" w:fill="auto"/>
            <w:vAlign w:val="center"/>
          </w:tcPr>
          <w:p w14:paraId="14AD0DE0" w14:textId="166FF786" w:rsidR="00E014FF" w:rsidRPr="00F07FA7" w:rsidRDefault="00E014FF" w:rsidP="00C1201D">
            <w:pPr>
              <w:tabs>
                <w:tab w:val="left" w:pos="567"/>
              </w:tabs>
              <w:spacing w:after="0" w:line="240" w:lineRule="auto"/>
              <w:jc w:val="both"/>
              <w:rPr>
                <w:rFonts w:eastAsia="SimSun" w:cstheme="minorHAnsi"/>
                <w:bCs/>
                <w:lang w:eastAsia="zh-CN"/>
              </w:rPr>
            </w:pPr>
            <w:r w:rsidRPr="00F07FA7">
              <w:rPr>
                <w:rFonts w:eastAsia="SimSun" w:cstheme="minorHAnsi"/>
                <w:bCs/>
                <w:lang w:eastAsia="zh-CN"/>
              </w:rPr>
              <w:t>Ministrstvo za javno upravo</w:t>
            </w:r>
          </w:p>
        </w:tc>
      </w:tr>
      <w:tr w:rsidR="00F07FA7" w:rsidRPr="00001AA8" w14:paraId="1C06BCC7" w14:textId="77777777" w:rsidTr="00B93695">
        <w:tc>
          <w:tcPr>
            <w:tcW w:w="1588" w:type="dxa"/>
            <w:shd w:val="clear" w:color="auto" w:fill="auto"/>
            <w:vAlign w:val="center"/>
          </w:tcPr>
          <w:p w14:paraId="4BADD1A0" w14:textId="413C6D96" w:rsidR="00F07FA7" w:rsidRPr="00F07FA7" w:rsidRDefault="00F07FA7" w:rsidP="00E014FF">
            <w:pPr>
              <w:tabs>
                <w:tab w:val="left" w:pos="567"/>
              </w:tabs>
              <w:spacing w:after="0" w:line="240" w:lineRule="auto"/>
              <w:rPr>
                <w:rFonts w:eastAsia="SimSun" w:cstheme="minorHAnsi"/>
                <w:bCs/>
                <w:lang w:eastAsia="zh-CN"/>
              </w:rPr>
            </w:pPr>
            <w:r w:rsidRPr="00F07FA7">
              <w:rPr>
                <w:rFonts w:eastAsia="SimSun" w:cstheme="minorHAnsi"/>
                <w:bCs/>
                <w:lang w:eastAsia="zh-CN"/>
              </w:rPr>
              <w:t>MK</w:t>
            </w:r>
          </w:p>
        </w:tc>
        <w:tc>
          <w:tcPr>
            <w:tcW w:w="7371" w:type="dxa"/>
            <w:shd w:val="clear" w:color="auto" w:fill="auto"/>
            <w:vAlign w:val="center"/>
          </w:tcPr>
          <w:p w14:paraId="664FBCB1" w14:textId="12841E43" w:rsidR="00F07FA7" w:rsidRPr="00F07FA7" w:rsidRDefault="00F07FA7" w:rsidP="00C1201D">
            <w:pPr>
              <w:tabs>
                <w:tab w:val="left" w:pos="567"/>
              </w:tabs>
              <w:spacing w:after="0" w:line="240" w:lineRule="auto"/>
              <w:jc w:val="both"/>
              <w:rPr>
                <w:rFonts w:eastAsia="SimSun" w:cstheme="minorHAnsi"/>
                <w:bCs/>
                <w:lang w:eastAsia="zh-CN"/>
              </w:rPr>
            </w:pPr>
            <w:r w:rsidRPr="00F07FA7">
              <w:rPr>
                <w:rFonts w:eastAsia="SimSun" w:cstheme="minorHAnsi"/>
                <w:bCs/>
                <w:lang w:eastAsia="zh-CN"/>
              </w:rPr>
              <w:t>Ministrstvo za kulturo</w:t>
            </w:r>
          </w:p>
        </w:tc>
      </w:tr>
      <w:tr w:rsidR="00E014FF" w:rsidRPr="00001AA8" w14:paraId="7AA7B719" w14:textId="77777777" w:rsidTr="00B93695">
        <w:tc>
          <w:tcPr>
            <w:tcW w:w="1588" w:type="dxa"/>
            <w:shd w:val="clear" w:color="auto" w:fill="auto"/>
            <w:vAlign w:val="center"/>
          </w:tcPr>
          <w:p w14:paraId="5CBBF070" w14:textId="77777777" w:rsidR="00E014FF" w:rsidRPr="00F07FA7" w:rsidRDefault="00E014FF" w:rsidP="00E014FF">
            <w:pPr>
              <w:tabs>
                <w:tab w:val="left" w:pos="567"/>
              </w:tabs>
              <w:spacing w:after="0" w:line="240" w:lineRule="auto"/>
              <w:rPr>
                <w:rFonts w:eastAsia="SimSun" w:cstheme="minorHAnsi"/>
                <w:bCs/>
                <w:lang w:eastAsia="zh-CN"/>
              </w:rPr>
            </w:pPr>
            <w:r w:rsidRPr="00F07FA7">
              <w:rPr>
                <w:rFonts w:eastAsia="SimSun" w:cstheme="minorHAnsi"/>
                <w:bCs/>
                <w:lang w:eastAsia="zh-CN"/>
              </w:rPr>
              <w:t>MKRR</w:t>
            </w:r>
          </w:p>
        </w:tc>
        <w:tc>
          <w:tcPr>
            <w:tcW w:w="7371" w:type="dxa"/>
            <w:shd w:val="clear" w:color="auto" w:fill="auto"/>
            <w:vAlign w:val="center"/>
          </w:tcPr>
          <w:p w14:paraId="3103D24E" w14:textId="77777777" w:rsidR="00E014FF" w:rsidRPr="00F07FA7" w:rsidRDefault="00E014FF" w:rsidP="00C1201D">
            <w:pPr>
              <w:tabs>
                <w:tab w:val="left" w:pos="567"/>
              </w:tabs>
              <w:spacing w:after="0" w:line="240" w:lineRule="auto"/>
              <w:jc w:val="both"/>
              <w:rPr>
                <w:rFonts w:eastAsia="SimSun" w:cstheme="minorHAnsi"/>
                <w:bCs/>
                <w:lang w:eastAsia="zh-CN"/>
              </w:rPr>
            </w:pPr>
            <w:r w:rsidRPr="00F07FA7">
              <w:rPr>
                <w:rFonts w:eastAsia="SimSun" w:cstheme="minorHAnsi"/>
                <w:bCs/>
                <w:lang w:eastAsia="zh-CN"/>
              </w:rPr>
              <w:t>Ministrstvo za kohezijo in regionalni razvoj</w:t>
            </w:r>
          </w:p>
        </w:tc>
      </w:tr>
      <w:tr w:rsidR="00F07FA7" w:rsidRPr="00001AA8" w14:paraId="0874D018" w14:textId="77777777" w:rsidTr="00B93695">
        <w:tc>
          <w:tcPr>
            <w:tcW w:w="1588" w:type="dxa"/>
            <w:shd w:val="clear" w:color="auto" w:fill="auto"/>
            <w:vAlign w:val="center"/>
          </w:tcPr>
          <w:p w14:paraId="2EA19306" w14:textId="0940303C" w:rsidR="00F07FA7" w:rsidRPr="00F07FA7" w:rsidRDefault="00F07FA7" w:rsidP="00F07FA7">
            <w:pPr>
              <w:tabs>
                <w:tab w:val="left" w:pos="567"/>
              </w:tabs>
              <w:spacing w:after="0" w:line="240" w:lineRule="auto"/>
              <w:rPr>
                <w:rFonts w:eastAsia="SimSun" w:cstheme="minorHAnsi"/>
                <w:bCs/>
                <w:lang w:eastAsia="zh-CN"/>
              </w:rPr>
            </w:pPr>
            <w:r w:rsidRPr="00F07FA7">
              <w:rPr>
                <w:rFonts w:cstheme="minorHAnsi"/>
              </w:rPr>
              <w:t>MNVP</w:t>
            </w:r>
          </w:p>
        </w:tc>
        <w:tc>
          <w:tcPr>
            <w:tcW w:w="7371" w:type="dxa"/>
            <w:shd w:val="clear" w:color="auto" w:fill="auto"/>
            <w:vAlign w:val="center"/>
          </w:tcPr>
          <w:p w14:paraId="07920920" w14:textId="7E872C0F" w:rsidR="00F07FA7" w:rsidRPr="00F07FA7" w:rsidRDefault="00F07FA7" w:rsidP="00C1201D">
            <w:pPr>
              <w:tabs>
                <w:tab w:val="left" w:pos="567"/>
              </w:tabs>
              <w:spacing w:after="0" w:line="240" w:lineRule="auto"/>
              <w:jc w:val="both"/>
              <w:rPr>
                <w:rFonts w:eastAsia="SimSun" w:cstheme="minorHAnsi"/>
                <w:bCs/>
                <w:lang w:eastAsia="zh-CN"/>
              </w:rPr>
            </w:pPr>
            <w:r w:rsidRPr="00F07FA7">
              <w:rPr>
                <w:rFonts w:eastAsia="SimSun" w:cstheme="minorHAnsi"/>
                <w:bCs/>
                <w:lang w:eastAsia="zh-CN"/>
              </w:rPr>
              <w:t>Ministrstvo za naravne vire in prostor</w:t>
            </w:r>
          </w:p>
        </w:tc>
      </w:tr>
      <w:tr w:rsidR="00F07FA7" w:rsidRPr="00001AA8" w14:paraId="1BCAC374" w14:textId="77777777" w:rsidTr="00B93695">
        <w:tc>
          <w:tcPr>
            <w:tcW w:w="1588" w:type="dxa"/>
            <w:shd w:val="clear" w:color="auto" w:fill="auto"/>
            <w:vAlign w:val="center"/>
          </w:tcPr>
          <w:p w14:paraId="6E9D0B0B" w14:textId="77777777" w:rsidR="00F07FA7" w:rsidRPr="00F07FA7" w:rsidRDefault="00F07FA7" w:rsidP="00F07FA7">
            <w:pPr>
              <w:tabs>
                <w:tab w:val="left" w:pos="567"/>
              </w:tabs>
              <w:spacing w:after="0" w:line="240" w:lineRule="auto"/>
              <w:rPr>
                <w:rFonts w:eastAsia="SimSun" w:cstheme="minorHAnsi"/>
                <w:bCs/>
                <w:lang w:eastAsia="zh-CN"/>
              </w:rPr>
            </w:pPr>
            <w:r w:rsidRPr="00F07FA7">
              <w:rPr>
                <w:rFonts w:eastAsia="SimSun" w:cstheme="minorHAnsi"/>
                <w:bCs/>
                <w:lang w:eastAsia="zh-CN"/>
              </w:rPr>
              <w:t>MOPE</w:t>
            </w:r>
          </w:p>
        </w:tc>
        <w:tc>
          <w:tcPr>
            <w:tcW w:w="7371" w:type="dxa"/>
            <w:shd w:val="clear" w:color="auto" w:fill="auto"/>
            <w:vAlign w:val="center"/>
          </w:tcPr>
          <w:p w14:paraId="19BDA760" w14:textId="77777777" w:rsidR="00F07FA7" w:rsidRPr="00F07FA7" w:rsidRDefault="00F07FA7" w:rsidP="00C1201D">
            <w:pPr>
              <w:tabs>
                <w:tab w:val="left" w:pos="567"/>
              </w:tabs>
              <w:spacing w:after="0" w:line="240" w:lineRule="auto"/>
              <w:jc w:val="both"/>
              <w:rPr>
                <w:rFonts w:eastAsia="SimSun" w:cstheme="minorHAnsi"/>
                <w:bCs/>
                <w:lang w:eastAsia="zh-CN"/>
              </w:rPr>
            </w:pPr>
            <w:r w:rsidRPr="00F07FA7">
              <w:rPr>
                <w:rFonts w:eastAsia="SimSun" w:cstheme="minorHAnsi"/>
                <w:bCs/>
                <w:lang w:eastAsia="zh-CN"/>
              </w:rPr>
              <w:t>Ministrstvo za okolje, podnebje in energijo</w:t>
            </w:r>
          </w:p>
        </w:tc>
      </w:tr>
      <w:tr w:rsidR="00F07FA7" w:rsidRPr="00001AA8" w14:paraId="39B81809" w14:textId="77777777" w:rsidTr="00B93695">
        <w:tc>
          <w:tcPr>
            <w:tcW w:w="1588" w:type="dxa"/>
            <w:shd w:val="clear" w:color="auto" w:fill="auto"/>
            <w:vAlign w:val="center"/>
          </w:tcPr>
          <w:p w14:paraId="4CB8E7BF" w14:textId="77777777" w:rsidR="00F07FA7" w:rsidRPr="00F07FA7" w:rsidRDefault="00F07FA7" w:rsidP="00F07FA7">
            <w:pPr>
              <w:tabs>
                <w:tab w:val="left" w:pos="567"/>
              </w:tabs>
              <w:spacing w:after="0" w:line="240" w:lineRule="auto"/>
              <w:rPr>
                <w:rFonts w:eastAsia="SimSun" w:cstheme="minorHAnsi"/>
                <w:bCs/>
                <w:lang w:eastAsia="zh-CN"/>
              </w:rPr>
            </w:pPr>
            <w:r w:rsidRPr="00F07FA7">
              <w:rPr>
                <w:rFonts w:eastAsia="SimSun" w:cstheme="minorHAnsi"/>
                <w:bCs/>
                <w:lang w:eastAsia="zh-CN"/>
              </w:rPr>
              <w:t>MP</w:t>
            </w:r>
          </w:p>
        </w:tc>
        <w:tc>
          <w:tcPr>
            <w:tcW w:w="7371" w:type="dxa"/>
            <w:shd w:val="clear" w:color="auto" w:fill="auto"/>
            <w:vAlign w:val="center"/>
          </w:tcPr>
          <w:p w14:paraId="6C9F6379" w14:textId="77777777" w:rsidR="00F07FA7" w:rsidRPr="00F07FA7" w:rsidRDefault="00F07FA7" w:rsidP="00C1201D">
            <w:pPr>
              <w:tabs>
                <w:tab w:val="left" w:pos="567"/>
              </w:tabs>
              <w:spacing w:after="0" w:line="240" w:lineRule="auto"/>
              <w:jc w:val="both"/>
              <w:rPr>
                <w:rFonts w:eastAsia="SimSun" w:cstheme="minorHAnsi"/>
                <w:bCs/>
                <w:lang w:eastAsia="zh-CN"/>
              </w:rPr>
            </w:pPr>
            <w:r w:rsidRPr="00F07FA7">
              <w:rPr>
                <w:rFonts w:eastAsia="SimSun" w:cstheme="minorHAnsi"/>
                <w:bCs/>
                <w:lang w:eastAsia="zh-CN"/>
              </w:rPr>
              <w:t>Ministrstvo za pravosodje</w:t>
            </w:r>
          </w:p>
        </w:tc>
      </w:tr>
      <w:tr w:rsidR="00F07FA7" w:rsidRPr="00001AA8" w14:paraId="3F7BFAE1" w14:textId="77777777" w:rsidTr="00B93695">
        <w:tc>
          <w:tcPr>
            <w:tcW w:w="1588" w:type="dxa"/>
            <w:shd w:val="clear" w:color="auto" w:fill="auto"/>
            <w:vAlign w:val="center"/>
          </w:tcPr>
          <w:p w14:paraId="4DFB9B0C" w14:textId="7F2EB6C6" w:rsidR="00F07FA7" w:rsidRPr="00F07FA7" w:rsidRDefault="00F07FA7" w:rsidP="00F07FA7">
            <w:pPr>
              <w:tabs>
                <w:tab w:val="left" w:pos="567"/>
              </w:tabs>
              <w:spacing w:after="0" w:line="240" w:lineRule="auto"/>
              <w:rPr>
                <w:rFonts w:eastAsia="SimSun" w:cstheme="minorHAnsi"/>
                <w:bCs/>
                <w:lang w:eastAsia="zh-CN"/>
              </w:rPr>
            </w:pPr>
            <w:r w:rsidRPr="00F07FA7">
              <w:rPr>
                <w:rFonts w:eastAsia="SimSun" w:cstheme="minorHAnsi"/>
                <w:bCs/>
                <w:lang w:eastAsia="zh-CN"/>
              </w:rPr>
              <w:t>MVI</w:t>
            </w:r>
          </w:p>
        </w:tc>
        <w:tc>
          <w:tcPr>
            <w:tcW w:w="7371" w:type="dxa"/>
            <w:shd w:val="clear" w:color="auto" w:fill="auto"/>
            <w:vAlign w:val="center"/>
          </w:tcPr>
          <w:p w14:paraId="4878059C" w14:textId="659ED08E" w:rsidR="00F07FA7" w:rsidRPr="00F07FA7" w:rsidRDefault="00F07FA7" w:rsidP="00C1201D">
            <w:pPr>
              <w:tabs>
                <w:tab w:val="left" w:pos="567"/>
              </w:tabs>
              <w:spacing w:after="0" w:line="240" w:lineRule="auto"/>
              <w:jc w:val="both"/>
              <w:rPr>
                <w:rFonts w:eastAsia="SimSun" w:cstheme="minorHAnsi"/>
                <w:bCs/>
                <w:lang w:eastAsia="zh-CN"/>
              </w:rPr>
            </w:pPr>
            <w:r w:rsidRPr="00F07FA7">
              <w:rPr>
                <w:rFonts w:eastAsia="SimSun" w:cstheme="minorHAnsi"/>
                <w:bCs/>
                <w:lang w:eastAsia="zh-CN"/>
              </w:rPr>
              <w:t>Ministrstvo za vzgojo in izobraževanje</w:t>
            </w:r>
          </w:p>
        </w:tc>
      </w:tr>
      <w:tr w:rsidR="00F07FA7" w:rsidRPr="00001AA8" w14:paraId="6B548B01" w14:textId="77777777" w:rsidTr="00B93695">
        <w:tc>
          <w:tcPr>
            <w:tcW w:w="1588" w:type="dxa"/>
            <w:shd w:val="clear" w:color="auto" w:fill="auto"/>
            <w:vAlign w:val="center"/>
          </w:tcPr>
          <w:p w14:paraId="7FF3B9A2" w14:textId="77777777" w:rsidR="00F07FA7" w:rsidRPr="00F07FA7" w:rsidRDefault="00F07FA7" w:rsidP="00F07FA7">
            <w:pPr>
              <w:tabs>
                <w:tab w:val="left" w:pos="567"/>
              </w:tabs>
              <w:spacing w:after="0" w:line="240" w:lineRule="auto"/>
              <w:rPr>
                <w:rFonts w:eastAsia="SimSun" w:cstheme="minorHAnsi"/>
                <w:bCs/>
                <w:lang w:eastAsia="zh-CN"/>
              </w:rPr>
            </w:pPr>
            <w:r w:rsidRPr="00F07FA7">
              <w:rPr>
                <w:rFonts w:eastAsia="SimSun" w:cstheme="minorHAnsi"/>
                <w:bCs/>
                <w:lang w:eastAsia="zh-CN"/>
              </w:rPr>
              <w:t>MVZI</w:t>
            </w:r>
          </w:p>
        </w:tc>
        <w:tc>
          <w:tcPr>
            <w:tcW w:w="7371" w:type="dxa"/>
            <w:shd w:val="clear" w:color="auto" w:fill="auto"/>
            <w:vAlign w:val="center"/>
          </w:tcPr>
          <w:p w14:paraId="4425705D" w14:textId="77777777" w:rsidR="00F07FA7" w:rsidRPr="00F07FA7" w:rsidRDefault="00F07FA7" w:rsidP="00C1201D">
            <w:pPr>
              <w:tabs>
                <w:tab w:val="left" w:pos="567"/>
              </w:tabs>
              <w:spacing w:after="0" w:line="240" w:lineRule="auto"/>
              <w:jc w:val="both"/>
              <w:rPr>
                <w:rFonts w:eastAsia="SimSun" w:cstheme="minorHAnsi"/>
                <w:bCs/>
                <w:lang w:eastAsia="zh-CN"/>
              </w:rPr>
            </w:pPr>
            <w:r w:rsidRPr="00F07FA7">
              <w:rPr>
                <w:rFonts w:eastAsia="SimSun" w:cstheme="minorHAnsi"/>
                <w:bCs/>
                <w:lang w:eastAsia="zh-CN"/>
              </w:rPr>
              <w:t>Ministrstvo za visoko šolstvo, znanost in inovacije</w:t>
            </w:r>
          </w:p>
        </w:tc>
      </w:tr>
      <w:tr w:rsidR="00F07FA7" w:rsidRPr="00001AA8" w14:paraId="113861A9" w14:textId="77777777" w:rsidTr="00B93695">
        <w:tc>
          <w:tcPr>
            <w:tcW w:w="1588" w:type="dxa"/>
            <w:shd w:val="clear" w:color="auto" w:fill="auto"/>
            <w:vAlign w:val="center"/>
          </w:tcPr>
          <w:p w14:paraId="65FD1A3D" w14:textId="1FB27FF9" w:rsidR="00F07FA7" w:rsidRPr="00F07FA7" w:rsidRDefault="00F07FA7" w:rsidP="00F07FA7">
            <w:pPr>
              <w:spacing w:after="0" w:line="240" w:lineRule="auto"/>
              <w:rPr>
                <w:rFonts w:cstheme="minorHAnsi"/>
              </w:rPr>
            </w:pPr>
            <w:r w:rsidRPr="00F07FA7">
              <w:rPr>
                <w:rFonts w:cstheme="minorHAnsi"/>
              </w:rPr>
              <w:t>MZ</w:t>
            </w:r>
          </w:p>
        </w:tc>
        <w:tc>
          <w:tcPr>
            <w:tcW w:w="7371" w:type="dxa"/>
            <w:shd w:val="clear" w:color="auto" w:fill="auto"/>
            <w:vAlign w:val="center"/>
          </w:tcPr>
          <w:p w14:paraId="39E49517" w14:textId="7ECDAD26" w:rsidR="00F07FA7" w:rsidRPr="00F07FA7" w:rsidRDefault="00F07FA7" w:rsidP="00C1201D">
            <w:pPr>
              <w:tabs>
                <w:tab w:val="left" w:pos="567"/>
              </w:tabs>
              <w:spacing w:after="0" w:line="240" w:lineRule="auto"/>
              <w:jc w:val="both"/>
              <w:rPr>
                <w:rFonts w:eastAsia="SimSun" w:cstheme="minorHAnsi"/>
                <w:bCs/>
                <w:lang w:eastAsia="zh-CN"/>
              </w:rPr>
            </w:pPr>
            <w:r w:rsidRPr="00F07FA7">
              <w:rPr>
                <w:rFonts w:eastAsia="SimSun" w:cstheme="minorHAnsi"/>
                <w:bCs/>
                <w:lang w:eastAsia="zh-CN"/>
              </w:rPr>
              <w:t>Ministrstvo za zdravje</w:t>
            </w:r>
          </w:p>
        </w:tc>
      </w:tr>
      <w:tr w:rsidR="00F07FA7" w:rsidRPr="00001AA8" w14:paraId="70203B49" w14:textId="77777777" w:rsidTr="00B93695">
        <w:tc>
          <w:tcPr>
            <w:tcW w:w="1588" w:type="dxa"/>
            <w:shd w:val="clear" w:color="auto" w:fill="auto"/>
            <w:vAlign w:val="center"/>
          </w:tcPr>
          <w:p w14:paraId="68B655C1" w14:textId="1A2B466E" w:rsidR="00F07FA7" w:rsidRPr="00F07FA7" w:rsidRDefault="00F07FA7" w:rsidP="00F07FA7">
            <w:pPr>
              <w:spacing w:after="0" w:line="240" w:lineRule="auto"/>
              <w:rPr>
                <w:rFonts w:cstheme="minorHAnsi"/>
              </w:rPr>
            </w:pPr>
            <w:r w:rsidRPr="00F07FA7">
              <w:rPr>
                <w:rFonts w:cstheme="minorHAnsi"/>
              </w:rPr>
              <w:t>MZEZ</w:t>
            </w:r>
          </w:p>
        </w:tc>
        <w:tc>
          <w:tcPr>
            <w:tcW w:w="7371" w:type="dxa"/>
            <w:shd w:val="clear" w:color="auto" w:fill="auto"/>
            <w:vAlign w:val="center"/>
          </w:tcPr>
          <w:p w14:paraId="3604C5AD" w14:textId="43E816C6" w:rsidR="00F07FA7" w:rsidRPr="00F07FA7" w:rsidRDefault="00F07FA7" w:rsidP="00C1201D">
            <w:pPr>
              <w:tabs>
                <w:tab w:val="left" w:pos="567"/>
              </w:tabs>
              <w:spacing w:after="0" w:line="240" w:lineRule="auto"/>
              <w:jc w:val="both"/>
              <w:rPr>
                <w:rFonts w:eastAsia="SimSun" w:cstheme="minorHAnsi"/>
                <w:bCs/>
                <w:lang w:eastAsia="zh-CN"/>
              </w:rPr>
            </w:pPr>
            <w:r w:rsidRPr="00F07FA7">
              <w:rPr>
                <w:rFonts w:eastAsia="SimSun" w:cstheme="minorHAnsi"/>
                <w:bCs/>
                <w:lang w:eastAsia="zh-CN"/>
              </w:rPr>
              <w:t>Ministrstvo za zunanje in evropske zadeve</w:t>
            </w:r>
          </w:p>
        </w:tc>
      </w:tr>
      <w:tr w:rsidR="00F07FA7" w:rsidRPr="00001AA8" w14:paraId="65C55FF1" w14:textId="77777777" w:rsidTr="00B93695">
        <w:tc>
          <w:tcPr>
            <w:tcW w:w="1588" w:type="dxa"/>
            <w:shd w:val="clear" w:color="auto" w:fill="auto"/>
            <w:vAlign w:val="center"/>
          </w:tcPr>
          <w:p w14:paraId="4067C381" w14:textId="77777777" w:rsidR="00F07FA7" w:rsidRPr="00F07FA7" w:rsidRDefault="00F07FA7" w:rsidP="00F07FA7">
            <w:pPr>
              <w:spacing w:after="0" w:line="240" w:lineRule="auto"/>
              <w:rPr>
                <w:rFonts w:cstheme="minorHAnsi"/>
              </w:rPr>
            </w:pPr>
            <w:r w:rsidRPr="00F07FA7">
              <w:rPr>
                <w:rFonts w:cstheme="minorHAnsi"/>
              </w:rPr>
              <w:t>MZI</w:t>
            </w:r>
          </w:p>
        </w:tc>
        <w:tc>
          <w:tcPr>
            <w:tcW w:w="7371" w:type="dxa"/>
            <w:shd w:val="clear" w:color="auto" w:fill="auto"/>
            <w:vAlign w:val="center"/>
          </w:tcPr>
          <w:p w14:paraId="67C40374" w14:textId="77777777" w:rsidR="00F07FA7" w:rsidRPr="00F07FA7" w:rsidRDefault="00F07FA7" w:rsidP="00C1201D">
            <w:pPr>
              <w:tabs>
                <w:tab w:val="left" w:pos="567"/>
              </w:tabs>
              <w:spacing w:after="0" w:line="240" w:lineRule="auto"/>
              <w:jc w:val="both"/>
              <w:rPr>
                <w:rFonts w:eastAsia="SimSun" w:cstheme="minorHAnsi"/>
                <w:bCs/>
                <w:lang w:eastAsia="zh-CN"/>
              </w:rPr>
            </w:pPr>
            <w:r w:rsidRPr="00F07FA7">
              <w:rPr>
                <w:rFonts w:eastAsia="SimSun" w:cstheme="minorHAnsi"/>
                <w:bCs/>
                <w:lang w:eastAsia="zh-CN"/>
              </w:rPr>
              <w:t>Ministrstvo za infrastrukturo</w:t>
            </w:r>
          </w:p>
        </w:tc>
      </w:tr>
      <w:tr w:rsidR="00F07FA7" w:rsidRPr="00001AA8" w14:paraId="5F4F2594" w14:textId="77777777" w:rsidTr="00B93695">
        <w:tc>
          <w:tcPr>
            <w:tcW w:w="1588" w:type="dxa"/>
            <w:shd w:val="clear" w:color="auto" w:fill="auto"/>
            <w:vAlign w:val="center"/>
          </w:tcPr>
          <w:p w14:paraId="5FFE827B" w14:textId="77777777" w:rsidR="00F07FA7" w:rsidRPr="00001AA8" w:rsidRDefault="00F07FA7" w:rsidP="00F07FA7">
            <w:pPr>
              <w:tabs>
                <w:tab w:val="left" w:pos="567"/>
              </w:tabs>
              <w:spacing w:after="0" w:line="240" w:lineRule="auto"/>
              <w:rPr>
                <w:rFonts w:eastAsia="SimSun" w:cstheme="minorHAnsi"/>
                <w:bCs/>
                <w:lang w:eastAsia="zh-CN"/>
              </w:rPr>
            </w:pPr>
            <w:r w:rsidRPr="00001AA8">
              <w:rPr>
                <w:rFonts w:eastAsia="SimSun" w:cstheme="minorHAnsi"/>
                <w:bCs/>
                <w:lang w:eastAsia="zh-CN"/>
              </w:rPr>
              <w:t>NIO</w:t>
            </w:r>
          </w:p>
        </w:tc>
        <w:tc>
          <w:tcPr>
            <w:tcW w:w="7371" w:type="dxa"/>
            <w:shd w:val="clear" w:color="auto" w:fill="auto"/>
            <w:vAlign w:val="center"/>
          </w:tcPr>
          <w:p w14:paraId="41E09208" w14:textId="77777777" w:rsidR="00F07FA7" w:rsidRPr="00001AA8" w:rsidRDefault="00F07FA7" w:rsidP="00C1201D">
            <w:pPr>
              <w:tabs>
                <w:tab w:val="left" w:pos="567"/>
              </w:tabs>
              <w:spacing w:after="0" w:line="240" w:lineRule="auto"/>
              <w:jc w:val="both"/>
              <w:rPr>
                <w:rFonts w:eastAsia="SimSun" w:cstheme="minorHAnsi"/>
                <w:bCs/>
                <w:lang w:eastAsia="zh-CN"/>
              </w:rPr>
            </w:pPr>
            <w:r w:rsidRPr="00001AA8">
              <w:rPr>
                <w:rFonts w:eastAsia="SimSun" w:cstheme="minorHAnsi"/>
                <w:bCs/>
                <w:lang w:eastAsia="zh-CN"/>
              </w:rPr>
              <w:t>način izbora operacije: javni razpis, javni poziv ali neposredna potrditev operacije, programa</w:t>
            </w:r>
          </w:p>
        </w:tc>
      </w:tr>
      <w:tr w:rsidR="00F07FA7" w:rsidRPr="00001AA8" w14:paraId="3CF0ED8E" w14:textId="77777777" w:rsidTr="00B93695">
        <w:tc>
          <w:tcPr>
            <w:tcW w:w="1588" w:type="dxa"/>
            <w:shd w:val="clear" w:color="auto" w:fill="auto"/>
            <w:vAlign w:val="center"/>
          </w:tcPr>
          <w:p w14:paraId="7A619573" w14:textId="5C51E7A0" w:rsidR="00F07FA7" w:rsidRPr="00001AA8" w:rsidRDefault="00F07FA7" w:rsidP="00F07FA7">
            <w:pPr>
              <w:tabs>
                <w:tab w:val="left" w:pos="567"/>
              </w:tabs>
              <w:spacing w:after="0" w:line="240" w:lineRule="auto"/>
              <w:rPr>
                <w:rFonts w:eastAsia="SimSun" w:cstheme="minorHAnsi"/>
                <w:bCs/>
                <w:lang w:eastAsia="zh-CN"/>
              </w:rPr>
            </w:pPr>
            <w:r w:rsidRPr="00001AA8">
              <w:rPr>
                <w:rFonts w:eastAsia="SimSun" w:cstheme="minorHAnsi"/>
                <w:bCs/>
                <w:lang w:eastAsia="zh-CN"/>
              </w:rPr>
              <w:t>N</w:t>
            </w:r>
            <w:r>
              <w:rPr>
                <w:rFonts w:eastAsia="SimSun" w:cstheme="minorHAnsi"/>
                <w:bCs/>
                <w:lang w:eastAsia="zh-CN"/>
              </w:rPr>
              <w:t>EPN</w:t>
            </w:r>
          </w:p>
        </w:tc>
        <w:tc>
          <w:tcPr>
            <w:tcW w:w="7371" w:type="dxa"/>
            <w:shd w:val="clear" w:color="auto" w:fill="auto"/>
            <w:vAlign w:val="center"/>
          </w:tcPr>
          <w:p w14:paraId="0CAF5232" w14:textId="2BFAA8FF" w:rsidR="00F07FA7" w:rsidRPr="00001AA8" w:rsidRDefault="00F07FA7" w:rsidP="00C1201D">
            <w:pPr>
              <w:tabs>
                <w:tab w:val="left" w:pos="567"/>
              </w:tabs>
              <w:spacing w:after="0" w:line="240" w:lineRule="auto"/>
              <w:jc w:val="both"/>
              <w:rPr>
                <w:rFonts w:eastAsia="SimSun" w:cstheme="minorHAnsi"/>
                <w:bCs/>
                <w:lang w:eastAsia="zh-CN"/>
              </w:rPr>
            </w:pPr>
            <w:r>
              <w:rPr>
                <w:rFonts w:eastAsia="SimSun" w:cstheme="minorHAnsi"/>
                <w:bCs/>
                <w:lang w:eastAsia="zh-CN"/>
              </w:rPr>
              <w:t>Nacionalni energetski in podnebni načrt Republike Slovenije</w:t>
            </w:r>
          </w:p>
        </w:tc>
      </w:tr>
      <w:tr w:rsidR="00F07FA7" w:rsidRPr="00001AA8" w14:paraId="6EA7293A" w14:textId="77777777" w:rsidTr="00B93695">
        <w:tc>
          <w:tcPr>
            <w:tcW w:w="1588" w:type="dxa"/>
            <w:shd w:val="clear" w:color="auto" w:fill="auto"/>
            <w:vAlign w:val="center"/>
          </w:tcPr>
          <w:p w14:paraId="67606276" w14:textId="6D8D0E80" w:rsidR="00F07FA7" w:rsidRPr="00001AA8" w:rsidRDefault="00F07FA7" w:rsidP="00F07FA7">
            <w:pPr>
              <w:tabs>
                <w:tab w:val="left" w:pos="567"/>
              </w:tabs>
              <w:spacing w:after="0" w:line="240" w:lineRule="auto"/>
              <w:rPr>
                <w:rFonts w:eastAsia="SimSun" w:cstheme="minorHAnsi"/>
                <w:bCs/>
                <w:lang w:eastAsia="zh-CN"/>
              </w:rPr>
            </w:pPr>
            <w:r>
              <w:rPr>
                <w:rFonts w:eastAsia="SimSun" w:cstheme="minorHAnsi"/>
                <w:bCs/>
                <w:lang w:eastAsia="zh-CN"/>
              </w:rPr>
              <w:t>NOO</w:t>
            </w:r>
          </w:p>
        </w:tc>
        <w:tc>
          <w:tcPr>
            <w:tcW w:w="7371" w:type="dxa"/>
            <w:shd w:val="clear" w:color="auto" w:fill="auto"/>
            <w:vAlign w:val="center"/>
          </w:tcPr>
          <w:p w14:paraId="77AE23FA" w14:textId="4BFC79E8" w:rsidR="00F07FA7" w:rsidRPr="00001AA8" w:rsidRDefault="00F07FA7" w:rsidP="00C1201D">
            <w:pPr>
              <w:tabs>
                <w:tab w:val="left" w:pos="567"/>
              </w:tabs>
              <w:spacing w:after="0" w:line="240" w:lineRule="auto"/>
              <w:jc w:val="both"/>
              <w:rPr>
                <w:rFonts w:eastAsia="SimSun" w:cstheme="minorHAnsi"/>
                <w:bCs/>
                <w:lang w:eastAsia="zh-CN"/>
              </w:rPr>
            </w:pPr>
            <w:r>
              <w:rPr>
                <w:rFonts w:eastAsia="SimSun" w:cstheme="minorHAnsi"/>
                <w:bCs/>
                <w:lang w:eastAsia="zh-CN"/>
              </w:rPr>
              <w:t>Načrt za okrevanje in odpornost</w:t>
            </w:r>
          </w:p>
        </w:tc>
      </w:tr>
      <w:tr w:rsidR="00F07FA7" w:rsidRPr="00001AA8" w14:paraId="7484FFC9" w14:textId="77777777" w:rsidTr="00B93695">
        <w:tc>
          <w:tcPr>
            <w:tcW w:w="1588" w:type="dxa"/>
            <w:shd w:val="clear" w:color="auto" w:fill="auto"/>
            <w:vAlign w:val="center"/>
          </w:tcPr>
          <w:p w14:paraId="4AB5F246" w14:textId="1AB1EDE0" w:rsidR="00F07FA7" w:rsidRDefault="00F07FA7" w:rsidP="00F07FA7">
            <w:pPr>
              <w:tabs>
                <w:tab w:val="left" w:pos="567"/>
              </w:tabs>
              <w:spacing w:after="0" w:line="240" w:lineRule="auto"/>
              <w:rPr>
                <w:rFonts w:eastAsia="SimSun" w:cstheme="minorHAnsi"/>
                <w:bCs/>
                <w:lang w:eastAsia="zh-CN"/>
              </w:rPr>
            </w:pPr>
            <w:r>
              <w:rPr>
                <w:rFonts w:eastAsia="SimSun" w:cstheme="minorHAnsi"/>
                <w:bCs/>
                <w:lang w:eastAsia="zh-CN"/>
              </w:rPr>
              <w:t>IKT</w:t>
            </w:r>
          </w:p>
        </w:tc>
        <w:tc>
          <w:tcPr>
            <w:tcW w:w="7371" w:type="dxa"/>
            <w:shd w:val="clear" w:color="auto" w:fill="auto"/>
            <w:vAlign w:val="center"/>
          </w:tcPr>
          <w:p w14:paraId="411C44B7" w14:textId="5515DFDA" w:rsidR="00F07FA7" w:rsidRPr="00001AA8" w:rsidRDefault="00F07FA7" w:rsidP="00C1201D">
            <w:pPr>
              <w:tabs>
                <w:tab w:val="left" w:pos="567"/>
              </w:tabs>
              <w:spacing w:after="0" w:line="240" w:lineRule="auto"/>
              <w:jc w:val="both"/>
              <w:rPr>
                <w:rFonts w:eastAsia="SimSun" w:cstheme="minorHAnsi"/>
                <w:bCs/>
                <w:lang w:eastAsia="zh-CN"/>
              </w:rPr>
            </w:pPr>
            <w:r>
              <w:rPr>
                <w:rFonts w:eastAsia="SimSun" w:cstheme="minorHAnsi"/>
                <w:bCs/>
                <w:lang w:eastAsia="zh-CN"/>
              </w:rPr>
              <w:t>Informacijsko-komunikacijska tehnologija</w:t>
            </w:r>
          </w:p>
        </w:tc>
      </w:tr>
      <w:tr w:rsidR="00F07FA7" w:rsidRPr="00001AA8" w14:paraId="409BC926" w14:textId="77777777" w:rsidTr="00B93695">
        <w:tc>
          <w:tcPr>
            <w:tcW w:w="1588" w:type="dxa"/>
            <w:shd w:val="clear" w:color="auto" w:fill="auto"/>
            <w:vAlign w:val="center"/>
          </w:tcPr>
          <w:p w14:paraId="5F73C5B2" w14:textId="4AAC06AD" w:rsidR="00F07FA7" w:rsidRDefault="00F07FA7" w:rsidP="00F07FA7">
            <w:pPr>
              <w:tabs>
                <w:tab w:val="left" w:pos="567"/>
              </w:tabs>
              <w:spacing w:after="0" w:line="240" w:lineRule="auto"/>
              <w:rPr>
                <w:rFonts w:eastAsia="SimSun" w:cstheme="minorHAnsi"/>
                <w:bCs/>
                <w:lang w:eastAsia="zh-CN"/>
              </w:rPr>
            </w:pPr>
            <w:r>
              <w:rPr>
                <w:rFonts w:eastAsia="SimSun" w:cstheme="minorHAnsi"/>
                <w:bCs/>
                <w:lang w:eastAsia="zh-CN"/>
              </w:rPr>
              <w:t>INP</w:t>
            </w:r>
          </w:p>
        </w:tc>
        <w:tc>
          <w:tcPr>
            <w:tcW w:w="7371" w:type="dxa"/>
            <w:shd w:val="clear" w:color="auto" w:fill="auto"/>
            <w:vAlign w:val="center"/>
          </w:tcPr>
          <w:p w14:paraId="7774382B" w14:textId="23999B1F" w:rsidR="00F07FA7" w:rsidRPr="00001AA8" w:rsidRDefault="00F07FA7" w:rsidP="00C1201D">
            <w:pPr>
              <w:tabs>
                <w:tab w:val="left" w:pos="567"/>
              </w:tabs>
              <w:spacing w:after="0" w:line="240" w:lineRule="auto"/>
              <w:jc w:val="both"/>
              <w:rPr>
                <w:rFonts w:eastAsia="SimSun" w:cstheme="minorHAnsi"/>
                <w:bCs/>
                <w:lang w:eastAsia="zh-CN"/>
              </w:rPr>
            </w:pPr>
            <w:r>
              <w:rPr>
                <w:rFonts w:eastAsia="SimSun" w:cstheme="minorHAnsi"/>
                <w:bCs/>
                <w:lang w:eastAsia="zh-CN"/>
              </w:rPr>
              <w:t>Izvedbeni načrt Programa evropske kohezijske politike v obdobju 2021- 2027 v Sloveniji</w:t>
            </w:r>
          </w:p>
        </w:tc>
      </w:tr>
      <w:tr w:rsidR="00F07FA7" w:rsidRPr="00001AA8" w14:paraId="49A2B204" w14:textId="77777777" w:rsidTr="00B93695">
        <w:tc>
          <w:tcPr>
            <w:tcW w:w="1588" w:type="dxa"/>
            <w:shd w:val="clear" w:color="auto" w:fill="auto"/>
            <w:vAlign w:val="center"/>
          </w:tcPr>
          <w:p w14:paraId="46628D37" w14:textId="70952C22" w:rsidR="00F07FA7" w:rsidRPr="00001AA8" w:rsidRDefault="00F07FA7" w:rsidP="00F07FA7">
            <w:pPr>
              <w:tabs>
                <w:tab w:val="left" w:pos="567"/>
              </w:tabs>
              <w:spacing w:after="0" w:line="240" w:lineRule="auto"/>
              <w:rPr>
                <w:rFonts w:eastAsia="SimSun" w:cstheme="minorHAnsi"/>
                <w:bCs/>
                <w:lang w:eastAsia="zh-CN"/>
              </w:rPr>
            </w:pPr>
            <w:r>
              <w:rPr>
                <w:rFonts w:eastAsia="SimSun" w:cstheme="minorHAnsi"/>
                <w:bCs/>
                <w:lang w:eastAsia="zh-CN"/>
              </w:rPr>
              <w:t>IPCEI</w:t>
            </w:r>
          </w:p>
        </w:tc>
        <w:tc>
          <w:tcPr>
            <w:tcW w:w="7371" w:type="dxa"/>
            <w:shd w:val="clear" w:color="auto" w:fill="auto"/>
            <w:vAlign w:val="center"/>
          </w:tcPr>
          <w:p w14:paraId="4DD042E2" w14:textId="5AF22FA8" w:rsidR="00F07FA7" w:rsidRPr="00001AA8" w:rsidRDefault="001B450C" w:rsidP="00C1201D">
            <w:pPr>
              <w:tabs>
                <w:tab w:val="left" w:pos="567"/>
              </w:tabs>
              <w:spacing w:after="0" w:line="240" w:lineRule="auto"/>
              <w:jc w:val="both"/>
              <w:rPr>
                <w:rFonts w:eastAsia="SimSun" w:cstheme="minorHAnsi"/>
                <w:bCs/>
                <w:lang w:eastAsia="zh-CN"/>
              </w:rPr>
            </w:pPr>
            <w:proofErr w:type="spellStart"/>
            <w:r w:rsidRPr="001B450C">
              <w:rPr>
                <w:rFonts w:eastAsia="SimSun" w:cstheme="minorHAnsi"/>
                <w:bCs/>
                <w:lang w:eastAsia="zh-CN"/>
              </w:rPr>
              <w:t>Important</w:t>
            </w:r>
            <w:proofErr w:type="spellEnd"/>
            <w:r w:rsidRPr="001B450C">
              <w:rPr>
                <w:rFonts w:eastAsia="SimSun" w:cstheme="minorHAnsi"/>
                <w:bCs/>
                <w:lang w:eastAsia="zh-CN"/>
              </w:rPr>
              <w:t xml:space="preserve"> </w:t>
            </w:r>
            <w:proofErr w:type="spellStart"/>
            <w:r w:rsidRPr="001B450C">
              <w:rPr>
                <w:rFonts w:eastAsia="SimSun" w:cstheme="minorHAnsi"/>
                <w:bCs/>
                <w:lang w:eastAsia="zh-CN"/>
              </w:rPr>
              <w:t>Projects</w:t>
            </w:r>
            <w:proofErr w:type="spellEnd"/>
            <w:r w:rsidRPr="001B450C">
              <w:rPr>
                <w:rFonts w:eastAsia="SimSun" w:cstheme="minorHAnsi"/>
                <w:bCs/>
                <w:lang w:eastAsia="zh-CN"/>
              </w:rPr>
              <w:t xml:space="preserve"> </w:t>
            </w:r>
            <w:proofErr w:type="spellStart"/>
            <w:r w:rsidRPr="001B450C">
              <w:rPr>
                <w:rFonts w:eastAsia="SimSun" w:cstheme="minorHAnsi"/>
                <w:bCs/>
                <w:lang w:eastAsia="zh-CN"/>
              </w:rPr>
              <w:t>of</w:t>
            </w:r>
            <w:proofErr w:type="spellEnd"/>
            <w:r w:rsidRPr="001B450C">
              <w:rPr>
                <w:rFonts w:eastAsia="SimSun" w:cstheme="minorHAnsi"/>
                <w:bCs/>
                <w:lang w:eastAsia="zh-CN"/>
              </w:rPr>
              <w:t xml:space="preserve"> </w:t>
            </w:r>
            <w:proofErr w:type="spellStart"/>
            <w:r w:rsidRPr="001B450C">
              <w:rPr>
                <w:rFonts w:eastAsia="SimSun" w:cstheme="minorHAnsi"/>
                <w:bCs/>
                <w:lang w:eastAsia="zh-CN"/>
              </w:rPr>
              <w:t>Common</w:t>
            </w:r>
            <w:proofErr w:type="spellEnd"/>
            <w:r w:rsidRPr="001B450C">
              <w:rPr>
                <w:rFonts w:eastAsia="SimSun" w:cstheme="minorHAnsi"/>
                <w:bCs/>
                <w:lang w:eastAsia="zh-CN"/>
              </w:rPr>
              <w:t xml:space="preserve"> </w:t>
            </w:r>
            <w:proofErr w:type="spellStart"/>
            <w:r w:rsidRPr="001B450C">
              <w:rPr>
                <w:rFonts w:eastAsia="SimSun" w:cstheme="minorHAnsi"/>
                <w:bCs/>
                <w:lang w:eastAsia="zh-CN"/>
              </w:rPr>
              <w:t>European</w:t>
            </w:r>
            <w:proofErr w:type="spellEnd"/>
            <w:r w:rsidRPr="001B450C">
              <w:rPr>
                <w:rFonts w:eastAsia="SimSun" w:cstheme="minorHAnsi"/>
                <w:bCs/>
                <w:lang w:eastAsia="zh-CN"/>
              </w:rPr>
              <w:t xml:space="preserve"> </w:t>
            </w:r>
            <w:proofErr w:type="spellStart"/>
            <w:r w:rsidRPr="001B450C">
              <w:rPr>
                <w:rFonts w:eastAsia="SimSun" w:cstheme="minorHAnsi"/>
                <w:bCs/>
                <w:lang w:eastAsia="zh-CN"/>
              </w:rPr>
              <w:t>Interest</w:t>
            </w:r>
            <w:proofErr w:type="spellEnd"/>
            <w:r w:rsidRPr="001B450C">
              <w:rPr>
                <w:rFonts w:eastAsia="SimSun" w:cstheme="minorHAnsi"/>
                <w:bCs/>
                <w:lang w:eastAsia="zh-CN"/>
              </w:rPr>
              <w:t xml:space="preserve"> </w:t>
            </w:r>
          </w:p>
        </w:tc>
      </w:tr>
      <w:tr w:rsidR="00F07FA7" w:rsidRPr="00001AA8" w14:paraId="1EB85565" w14:textId="77777777" w:rsidTr="00B93695">
        <w:tc>
          <w:tcPr>
            <w:tcW w:w="1588" w:type="dxa"/>
            <w:shd w:val="clear" w:color="auto" w:fill="auto"/>
            <w:vAlign w:val="center"/>
          </w:tcPr>
          <w:p w14:paraId="7EEA7258" w14:textId="77777777" w:rsidR="00F07FA7" w:rsidRPr="004F3D32" w:rsidRDefault="00F07FA7" w:rsidP="00F07FA7">
            <w:pPr>
              <w:tabs>
                <w:tab w:val="left" w:pos="567"/>
              </w:tabs>
              <w:spacing w:after="0" w:line="240" w:lineRule="auto"/>
              <w:rPr>
                <w:rFonts w:eastAsia="SimSun" w:cstheme="minorHAnsi"/>
                <w:bCs/>
                <w:lang w:eastAsia="zh-CN"/>
              </w:rPr>
            </w:pPr>
            <w:r w:rsidRPr="004F3D32">
              <w:rPr>
                <w:rFonts w:eastAsia="SimSun" w:cstheme="minorHAnsi"/>
                <w:bCs/>
                <w:lang w:eastAsia="zh-CN"/>
              </w:rPr>
              <w:t>operacija</w:t>
            </w:r>
          </w:p>
        </w:tc>
        <w:tc>
          <w:tcPr>
            <w:tcW w:w="7371" w:type="dxa"/>
            <w:shd w:val="clear" w:color="auto" w:fill="auto"/>
            <w:vAlign w:val="center"/>
          </w:tcPr>
          <w:p w14:paraId="03318B44" w14:textId="77777777" w:rsidR="00F07FA7" w:rsidRPr="004F3D32" w:rsidRDefault="00F07FA7" w:rsidP="00C1201D">
            <w:pPr>
              <w:tabs>
                <w:tab w:val="left" w:pos="567"/>
              </w:tabs>
              <w:spacing w:after="0" w:line="240" w:lineRule="auto"/>
              <w:jc w:val="both"/>
              <w:rPr>
                <w:rFonts w:eastAsia="SimSun" w:cstheme="minorHAnsi"/>
                <w:bCs/>
                <w:lang w:eastAsia="zh-CN"/>
              </w:rPr>
            </w:pPr>
            <w:r w:rsidRPr="004F3D32">
              <w:rPr>
                <w:rFonts w:eastAsia="SimSun" w:cstheme="minorHAnsi"/>
                <w:bCs/>
                <w:lang w:eastAsia="zh-CN"/>
              </w:rPr>
              <w:t>potrjen projekt ali skupina projektov, ki jo izvaja en upravičenec ali več teh, ali potrjen program, ki ga izvaja upravičenec za doseganje ciljev prednostnih osi</w:t>
            </w:r>
          </w:p>
        </w:tc>
      </w:tr>
      <w:tr w:rsidR="00F07FA7" w:rsidRPr="00001AA8" w14:paraId="4A557A0E" w14:textId="77777777" w:rsidTr="00B93695">
        <w:tc>
          <w:tcPr>
            <w:tcW w:w="1588" w:type="dxa"/>
            <w:shd w:val="clear" w:color="auto" w:fill="auto"/>
            <w:vAlign w:val="center"/>
          </w:tcPr>
          <w:p w14:paraId="1A09749C" w14:textId="77777777" w:rsidR="00F07FA7" w:rsidRPr="00001AA8" w:rsidRDefault="00F07FA7" w:rsidP="00F07FA7">
            <w:pPr>
              <w:tabs>
                <w:tab w:val="left" w:pos="567"/>
              </w:tabs>
              <w:spacing w:after="0" w:line="240" w:lineRule="auto"/>
              <w:rPr>
                <w:rFonts w:eastAsia="SimSun" w:cstheme="minorHAnsi"/>
                <w:bCs/>
                <w:lang w:eastAsia="zh-CN"/>
              </w:rPr>
            </w:pPr>
            <w:r w:rsidRPr="00001AA8">
              <w:rPr>
                <w:rFonts w:eastAsia="SimSun" w:cstheme="minorHAnsi"/>
                <w:bCs/>
                <w:lang w:eastAsia="zh-CN"/>
              </w:rPr>
              <w:t>PN</w:t>
            </w:r>
          </w:p>
        </w:tc>
        <w:tc>
          <w:tcPr>
            <w:tcW w:w="7371" w:type="dxa"/>
            <w:shd w:val="clear" w:color="auto" w:fill="auto"/>
            <w:vAlign w:val="center"/>
          </w:tcPr>
          <w:p w14:paraId="77CB38F8" w14:textId="77777777" w:rsidR="00F07FA7" w:rsidRPr="00001AA8" w:rsidRDefault="00F07FA7" w:rsidP="00C1201D">
            <w:pPr>
              <w:tabs>
                <w:tab w:val="left" w:pos="567"/>
              </w:tabs>
              <w:spacing w:after="0" w:line="240" w:lineRule="auto"/>
              <w:jc w:val="both"/>
              <w:rPr>
                <w:rFonts w:eastAsia="SimSun" w:cstheme="minorHAnsi"/>
                <w:bCs/>
                <w:lang w:eastAsia="zh-CN"/>
              </w:rPr>
            </w:pPr>
            <w:r w:rsidRPr="00001AA8">
              <w:rPr>
                <w:rFonts w:eastAsia="SimSun" w:cstheme="minorHAnsi"/>
                <w:bCs/>
                <w:lang w:eastAsia="zh-CN"/>
              </w:rPr>
              <w:t>prednostna naložba</w:t>
            </w:r>
          </w:p>
        </w:tc>
      </w:tr>
      <w:tr w:rsidR="00F07FA7" w:rsidRPr="00001AA8" w14:paraId="0FC41AAD" w14:textId="77777777" w:rsidTr="00B93695">
        <w:tc>
          <w:tcPr>
            <w:tcW w:w="1588" w:type="dxa"/>
            <w:shd w:val="clear" w:color="auto" w:fill="auto"/>
            <w:vAlign w:val="center"/>
          </w:tcPr>
          <w:p w14:paraId="4C383D95" w14:textId="5119096B" w:rsidR="00F07FA7" w:rsidRPr="00001AA8" w:rsidRDefault="00F07FA7" w:rsidP="00F07FA7">
            <w:pPr>
              <w:tabs>
                <w:tab w:val="left" w:pos="567"/>
              </w:tabs>
              <w:spacing w:after="0" w:line="240" w:lineRule="auto"/>
              <w:rPr>
                <w:rFonts w:eastAsia="SimSun" w:cstheme="minorHAnsi"/>
                <w:bCs/>
                <w:lang w:eastAsia="zh-CN"/>
              </w:rPr>
            </w:pPr>
            <w:r w:rsidRPr="00001AA8">
              <w:rPr>
                <w:rFonts w:eastAsia="SimSun" w:cstheme="minorHAnsi"/>
                <w:bCs/>
                <w:lang w:eastAsia="zh-CN"/>
              </w:rPr>
              <w:t>P</w:t>
            </w:r>
            <w:r>
              <w:rPr>
                <w:rFonts w:eastAsia="SimSun" w:cstheme="minorHAnsi"/>
                <w:bCs/>
                <w:lang w:eastAsia="zh-CN"/>
              </w:rPr>
              <w:t>T</w:t>
            </w:r>
          </w:p>
        </w:tc>
        <w:tc>
          <w:tcPr>
            <w:tcW w:w="7371" w:type="dxa"/>
            <w:shd w:val="clear" w:color="auto" w:fill="auto"/>
            <w:vAlign w:val="center"/>
          </w:tcPr>
          <w:p w14:paraId="249F5672" w14:textId="4C1BB8A2" w:rsidR="00F07FA7" w:rsidRPr="00001AA8" w:rsidRDefault="00F07FA7" w:rsidP="00C1201D">
            <w:pPr>
              <w:tabs>
                <w:tab w:val="left" w:pos="567"/>
              </w:tabs>
              <w:spacing w:after="0" w:line="240" w:lineRule="auto"/>
              <w:jc w:val="both"/>
              <w:rPr>
                <w:rFonts w:cstheme="minorHAnsi"/>
              </w:rPr>
            </w:pPr>
            <w:r w:rsidRPr="00001AA8">
              <w:rPr>
                <w:rFonts w:cstheme="minorHAnsi"/>
              </w:rPr>
              <w:t>Posrednišk</w:t>
            </w:r>
            <w:r>
              <w:rPr>
                <w:rFonts w:cstheme="minorHAnsi"/>
              </w:rPr>
              <w:t>o telo</w:t>
            </w:r>
          </w:p>
        </w:tc>
      </w:tr>
      <w:tr w:rsidR="00F07FA7" w:rsidRPr="00001AA8" w14:paraId="526F7F5E" w14:textId="77777777" w:rsidTr="00B93695">
        <w:tc>
          <w:tcPr>
            <w:tcW w:w="1588" w:type="dxa"/>
            <w:shd w:val="clear" w:color="auto" w:fill="auto"/>
            <w:vAlign w:val="center"/>
          </w:tcPr>
          <w:p w14:paraId="31F800E6" w14:textId="77777777" w:rsidR="00F07FA7" w:rsidRPr="00001AA8" w:rsidRDefault="00F07FA7" w:rsidP="00F07FA7">
            <w:pPr>
              <w:tabs>
                <w:tab w:val="left" w:pos="567"/>
              </w:tabs>
              <w:spacing w:after="0" w:line="240" w:lineRule="auto"/>
              <w:rPr>
                <w:rFonts w:eastAsia="SimSun" w:cstheme="minorHAnsi"/>
                <w:bCs/>
                <w:lang w:eastAsia="zh-CN"/>
              </w:rPr>
            </w:pPr>
            <w:r w:rsidRPr="00001AA8">
              <w:rPr>
                <w:rFonts w:eastAsia="SimSun" w:cstheme="minorHAnsi"/>
                <w:bCs/>
                <w:lang w:eastAsia="zh-CN"/>
              </w:rPr>
              <w:t>PEKP</w:t>
            </w:r>
          </w:p>
        </w:tc>
        <w:tc>
          <w:tcPr>
            <w:tcW w:w="7371" w:type="dxa"/>
            <w:shd w:val="clear" w:color="auto" w:fill="auto"/>
            <w:vAlign w:val="center"/>
          </w:tcPr>
          <w:p w14:paraId="12474003" w14:textId="77777777" w:rsidR="00F07FA7" w:rsidRPr="00001AA8" w:rsidRDefault="00F07FA7" w:rsidP="00C1201D">
            <w:pPr>
              <w:tabs>
                <w:tab w:val="left" w:pos="567"/>
              </w:tabs>
              <w:spacing w:after="0" w:line="240" w:lineRule="auto"/>
              <w:jc w:val="both"/>
              <w:rPr>
                <w:rFonts w:eastAsia="SimSun" w:cstheme="minorHAnsi"/>
                <w:bCs/>
                <w:lang w:eastAsia="zh-CN"/>
              </w:rPr>
            </w:pPr>
            <w:r w:rsidRPr="00001AA8">
              <w:rPr>
                <w:rFonts w:eastAsia="SimSun" w:cstheme="minorHAnsi"/>
                <w:bCs/>
                <w:lang w:eastAsia="zh-CN"/>
              </w:rPr>
              <w:t>Program izvajanja evropske kohezijske politike v obdobju 2021–2027</w:t>
            </w:r>
          </w:p>
        </w:tc>
      </w:tr>
      <w:tr w:rsidR="00F07FA7" w:rsidRPr="00001AA8" w14:paraId="13AA378D" w14:textId="77777777" w:rsidTr="00B93695">
        <w:tc>
          <w:tcPr>
            <w:tcW w:w="1588" w:type="dxa"/>
            <w:shd w:val="clear" w:color="auto" w:fill="auto"/>
            <w:vAlign w:val="center"/>
          </w:tcPr>
          <w:p w14:paraId="1A760F8B" w14:textId="77777777" w:rsidR="00F07FA7" w:rsidRPr="00001AA8" w:rsidRDefault="00F07FA7" w:rsidP="00F07FA7">
            <w:pPr>
              <w:tabs>
                <w:tab w:val="left" w:pos="567"/>
              </w:tabs>
              <w:spacing w:after="0" w:line="240" w:lineRule="auto"/>
              <w:rPr>
                <w:rFonts w:eastAsia="SimSun" w:cstheme="minorHAnsi"/>
                <w:bCs/>
                <w:lang w:eastAsia="zh-CN"/>
              </w:rPr>
            </w:pPr>
            <w:r w:rsidRPr="00001AA8">
              <w:rPr>
                <w:rFonts w:eastAsia="SimSun" w:cstheme="minorHAnsi"/>
                <w:bCs/>
                <w:lang w:eastAsia="zh-CN"/>
              </w:rPr>
              <w:t>SID</w:t>
            </w:r>
          </w:p>
        </w:tc>
        <w:tc>
          <w:tcPr>
            <w:tcW w:w="7371" w:type="dxa"/>
            <w:shd w:val="clear" w:color="auto" w:fill="auto"/>
            <w:vAlign w:val="center"/>
          </w:tcPr>
          <w:p w14:paraId="3E3F0B88" w14:textId="77777777" w:rsidR="00F07FA7" w:rsidRPr="00001AA8" w:rsidRDefault="00F07FA7" w:rsidP="00C1201D">
            <w:pPr>
              <w:tabs>
                <w:tab w:val="left" w:pos="567"/>
              </w:tabs>
              <w:spacing w:after="0" w:line="240" w:lineRule="auto"/>
              <w:jc w:val="both"/>
              <w:rPr>
                <w:rFonts w:eastAsia="SimSun" w:cstheme="minorHAnsi"/>
                <w:bCs/>
                <w:lang w:eastAsia="zh-CN"/>
              </w:rPr>
            </w:pPr>
            <w:r w:rsidRPr="00001AA8">
              <w:rPr>
                <w:rFonts w:eastAsia="SimSun" w:cstheme="minorHAnsi"/>
                <w:bCs/>
                <w:lang w:eastAsia="zh-CN"/>
              </w:rPr>
              <w:t>Slovenska izvozna in razvojna banka d. d., Ljubljana</w:t>
            </w:r>
          </w:p>
        </w:tc>
      </w:tr>
      <w:tr w:rsidR="00F07FA7" w:rsidRPr="00001AA8" w14:paraId="0CE643A3" w14:textId="77777777" w:rsidTr="00B93695">
        <w:tc>
          <w:tcPr>
            <w:tcW w:w="1588" w:type="dxa"/>
            <w:shd w:val="clear" w:color="auto" w:fill="auto"/>
            <w:vAlign w:val="center"/>
          </w:tcPr>
          <w:p w14:paraId="102A310F" w14:textId="7C90496A" w:rsidR="00F07FA7" w:rsidRPr="00001AA8" w:rsidRDefault="00F07FA7" w:rsidP="00F07FA7">
            <w:pPr>
              <w:tabs>
                <w:tab w:val="left" w:pos="567"/>
              </w:tabs>
              <w:spacing w:after="0" w:line="240" w:lineRule="auto"/>
              <w:rPr>
                <w:rFonts w:eastAsia="SimSun" w:cstheme="minorHAnsi"/>
                <w:bCs/>
                <w:lang w:eastAsia="zh-CN"/>
              </w:rPr>
            </w:pPr>
            <w:r>
              <w:rPr>
                <w:rFonts w:eastAsia="SimSun" w:cstheme="minorHAnsi"/>
                <w:bCs/>
                <w:lang w:eastAsia="zh-CN"/>
              </w:rPr>
              <w:t>SOVIR</w:t>
            </w:r>
          </w:p>
        </w:tc>
        <w:tc>
          <w:tcPr>
            <w:tcW w:w="7371" w:type="dxa"/>
            <w:shd w:val="clear" w:color="auto" w:fill="auto"/>
            <w:vAlign w:val="center"/>
          </w:tcPr>
          <w:p w14:paraId="3DA8B9A2" w14:textId="377AA5CB" w:rsidR="00F07FA7" w:rsidRPr="00001AA8" w:rsidRDefault="00F07FA7" w:rsidP="00C1201D">
            <w:pPr>
              <w:tabs>
                <w:tab w:val="left" w:pos="567"/>
              </w:tabs>
              <w:spacing w:after="0" w:line="240" w:lineRule="auto"/>
              <w:jc w:val="both"/>
              <w:rPr>
                <w:rFonts w:eastAsia="SimSun" w:cstheme="minorHAnsi"/>
                <w:bCs/>
                <w:lang w:eastAsia="zh-CN"/>
              </w:rPr>
            </w:pPr>
            <w:r>
              <w:rPr>
                <w:rFonts w:eastAsia="SimSun" w:cstheme="minorHAnsi"/>
                <w:bCs/>
                <w:lang w:eastAsia="zh-CN"/>
              </w:rPr>
              <w:t>Sistem opozarjanja na vremensko pogojene izredne razmere</w:t>
            </w:r>
          </w:p>
        </w:tc>
      </w:tr>
      <w:tr w:rsidR="00F07FA7" w:rsidRPr="00001AA8" w14:paraId="35334F88" w14:textId="77777777" w:rsidTr="00B93695">
        <w:tc>
          <w:tcPr>
            <w:tcW w:w="1588" w:type="dxa"/>
            <w:shd w:val="clear" w:color="auto" w:fill="auto"/>
            <w:vAlign w:val="center"/>
          </w:tcPr>
          <w:p w14:paraId="0421D938" w14:textId="46AEB9DD" w:rsidR="00F07FA7" w:rsidRPr="004F3D32" w:rsidRDefault="00F07FA7" w:rsidP="00F07FA7">
            <w:pPr>
              <w:tabs>
                <w:tab w:val="left" w:pos="567"/>
              </w:tabs>
              <w:spacing w:after="0" w:line="240" w:lineRule="auto"/>
              <w:rPr>
                <w:rFonts w:eastAsia="SimSun" w:cstheme="minorHAnsi"/>
                <w:bCs/>
                <w:lang w:eastAsia="zh-CN"/>
              </w:rPr>
            </w:pPr>
            <w:r w:rsidRPr="004F3D32">
              <w:rPr>
                <w:rFonts w:eastAsia="SimSun" w:cstheme="minorHAnsi"/>
                <w:bCs/>
                <w:lang w:eastAsia="zh-CN"/>
              </w:rPr>
              <w:t>S5</w:t>
            </w:r>
          </w:p>
        </w:tc>
        <w:tc>
          <w:tcPr>
            <w:tcW w:w="7371" w:type="dxa"/>
            <w:shd w:val="clear" w:color="auto" w:fill="auto"/>
            <w:vAlign w:val="center"/>
          </w:tcPr>
          <w:p w14:paraId="2196E747" w14:textId="77777777" w:rsidR="00F07FA7" w:rsidRPr="004F3D32" w:rsidRDefault="00F07FA7" w:rsidP="00C1201D">
            <w:pPr>
              <w:tabs>
                <w:tab w:val="left" w:pos="567"/>
              </w:tabs>
              <w:spacing w:after="0" w:line="240" w:lineRule="auto"/>
              <w:jc w:val="both"/>
              <w:rPr>
                <w:rFonts w:eastAsia="SimSun" w:cstheme="minorHAnsi"/>
                <w:bCs/>
                <w:lang w:eastAsia="zh-CN"/>
              </w:rPr>
            </w:pPr>
            <w:r w:rsidRPr="004F3D32">
              <w:rPr>
                <w:rFonts w:eastAsia="SimSun" w:cstheme="minorHAnsi"/>
                <w:bCs/>
                <w:lang w:eastAsia="zh-CN"/>
              </w:rPr>
              <w:t>Slovenska strategija pametne specializacije</w:t>
            </w:r>
          </w:p>
        </w:tc>
      </w:tr>
      <w:tr w:rsidR="00F07FA7" w:rsidRPr="00001AA8" w14:paraId="0E95E2D7" w14:textId="77777777" w:rsidTr="00B93695">
        <w:tc>
          <w:tcPr>
            <w:tcW w:w="1588" w:type="dxa"/>
            <w:shd w:val="clear" w:color="auto" w:fill="auto"/>
            <w:vAlign w:val="center"/>
          </w:tcPr>
          <w:p w14:paraId="0C7EEBDA" w14:textId="2C949A26" w:rsidR="00F07FA7" w:rsidRPr="00001AA8" w:rsidRDefault="00F07FA7" w:rsidP="00F07FA7">
            <w:pPr>
              <w:tabs>
                <w:tab w:val="left" w:pos="567"/>
              </w:tabs>
              <w:spacing w:after="0" w:line="240" w:lineRule="auto"/>
              <w:rPr>
                <w:rFonts w:eastAsia="SimSun" w:cstheme="minorHAnsi"/>
                <w:bCs/>
                <w:lang w:eastAsia="zh-CN"/>
              </w:rPr>
            </w:pPr>
            <w:r w:rsidRPr="00001AA8">
              <w:rPr>
                <w:rFonts w:eastAsia="MS Mincho" w:cstheme="minorHAnsi"/>
              </w:rPr>
              <w:t>S</w:t>
            </w:r>
            <w:r>
              <w:rPr>
                <w:rFonts w:eastAsia="MS Mincho" w:cstheme="minorHAnsi"/>
              </w:rPr>
              <w:t>PP</w:t>
            </w:r>
          </w:p>
        </w:tc>
        <w:tc>
          <w:tcPr>
            <w:tcW w:w="7371" w:type="dxa"/>
            <w:shd w:val="clear" w:color="auto" w:fill="auto"/>
            <w:vAlign w:val="center"/>
          </w:tcPr>
          <w:p w14:paraId="7C2ABCB2" w14:textId="19FF2A92" w:rsidR="00F07FA7" w:rsidRPr="00001AA8" w:rsidRDefault="00F07FA7" w:rsidP="00C1201D">
            <w:pPr>
              <w:tabs>
                <w:tab w:val="left" w:pos="567"/>
              </w:tabs>
              <w:spacing w:after="0" w:line="240" w:lineRule="auto"/>
              <w:jc w:val="both"/>
              <w:rPr>
                <w:rFonts w:eastAsia="SimSun" w:cstheme="minorHAnsi"/>
                <w:bCs/>
                <w:lang w:eastAsia="zh-CN"/>
              </w:rPr>
            </w:pPr>
            <w:r>
              <w:rPr>
                <w:rFonts w:eastAsia="SimSun" w:cstheme="minorHAnsi"/>
                <w:bCs/>
                <w:lang w:eastAsia="zh-CN"/>
              </w:rPr>
              <w:t>Sklad za pravični prehod</w:t>
            </w:r>
          </w:p>
        </w:tc>
      </w:tr>
      <w:tr w:rsidR="00F07FA7" w:rsidRPr="00001AA8" w14:paraId="7524D636" w14:textId="77777777" w:rsidTr="00B93695">
        <w:tc>
          <w:tcPr>
            <w:tcW w:w="1588" w:type="dxa"/>
            <w:shd w:val="clear" w:color="auto" w:fill="auto"/>
            <w:vAlign w:val="center"/>
          </w:tcPr>
          <w:p w14:paraId="272C146B" w14:textId="77777777" w:rsidR="00F07FA7" w:rsidRPr="00001AA8" w:rsidRDefault="00F07FA7" w:rsidP="00F07FA7">
            <w:pPr>
              <w:tabs>
                <w:tab w:val="left" w:pos="567"/>
              </w:tabs>
              <w:spacing w:after="0" w:line="240" w:lineRule="auto"/>
              <w:rPr>
                <w:rFonts w:eastAsia="MS Mincho" w:cstheme="minorHAnsi"/>
              </w:rPr>
            </w:pPr>
            <w:r w:rsidRPr="00001AA8">
              <w:rPr>
                <w:rFonts w:eastAsia="MS Mincho" w:cstheme="minorHAnsi"/>
              </w:rPr>
              <w:t>STEP</w:t>
            </w:r>
          </w:p>
        </w:tc>
        <w:tc>
          <w:tcPr>
            <w:tcW w:w="7371" w:type="dxa"/>
            <w:shd w:val="clear" w:color="auto" w:fill="auto"/>
            <w:vAlign w:val="center"/>
          </w:tcPr>
          <w:p w14:paraId="61181D31" w14:textId="2AECD69E" w:rsidR="00F07FA7" w:rsidRPr="00001AA8" w:rsidRDefault="00F07FA7" w:rsidP="00C1201D">
            <w:pPr>
              <w:tabs>
                <w:tab w:val="left" w:pos="567"/>
              </w:tabs>
              <w:spacing w:after="0" w:line="240" w:lineRule="auto"/>
              <w:jc w:val="both"/>
              <w:rPr>
                <w:rFonts w:eastAsia="SimSun" w:cstheme="minorHAnsi"/>
                <w:bCs/>
                <w:lang w:eastAsia="zh-CN"/>
              </w:rPr>
            </w:pPr>
            <w:proofErr w:type="spellStart"/>
            <w:r w:rsidRPr="00001AA8">
              <w:rPr>
                <w:rFonts w:eastAsia="SimSun" w:cstheme="minorHAnsi"/>
                <w:bCs/>
                <w:lang w:eastAsia="zh-CN"/>
              </w:rPr>
              <w:t>Strategic</w:t>
            </w:r>
            <w:proofErr w:type="spellEnd"/>
            <w:r w:rsidRPr="00001AA8">
              <w:rPr>
                <w:rFonts w:eastAsia="SimSun" w:cstheme="minorHAnsi"/>
                <w:bCs/>
                <w:lang w:eastAsia="zh-CN"/>
              </w:rPr>
              <w:t xml:space="preserve"> Technologies </w:t>
            </w:r>
            <w:proofErr w:type="spellStart"/>
            <w:r w:rsidRPr="00001AA8">
              <w:rPr>
                <w:rFonts w:eastAsia="SimSun" w:cstheme="minorHAnsi"/>
                <w:bCs/>
                <w:lang w:eastAsia="zh-CN"/>
              </w:rPr>
              <w:t>for</w:t>
            </w:r>
            <w:proofErr w:type="spellEnd"/>
            <w:r w:rsidRPr="00001AA8">
              <w:rPr>
                <w:rFonts w:eastAsia="SimSun" w:cstheme="minorHAnsi"/>
                <w:bCs/>
                <w:lang w:eastAsia="zh-CN"/>
              </w:rPr>
              <w:t xml:space="preserve"> </w:t>
            </w:r>
            <w:proofErr w:type="spellStart"/>
            <w:r w:rsidRPr="00001AA8">
              <w:rPr>
                <w:rFonts w:eastAsia="SimSun" w:cstheme="minorHAnsi"/>
                <w:bCs/>
                <w:lang w:eastAsia="zh-CN"/>
              </w:rPr>
              <w:t>Europe</w:t>
            </w:r>
            <w:proofErr w:type="spellEnd"/>
            <w:r w:rsidRPr="00001AA8">
              <w:rPr>
                <w:rFonts w:eastAsia="SimSun" w:cstheme="minorHAnsi"/>
                <w:bCs/>
                <w:lang w:eastAsia="zh-CN"/>
              </w:rPr>
              <w:t xml:space="preserve"> Platform</w:t>
            </w:r>
          </w:p>
        </w:tc>
      </w:tr>
      <w:tr w:rsidR="00F07FA7" w:rsidRPr="00001AA8" w14:paraId="145399C1" w14:textId="77777777" w:rsidTr="00B93695">
        <w:tc>
          <w:tcPr>
            <w:tcW w:w="1588" w:type="dxa"/>
            <w:shd w:val="clear" w:color="auto" w:fill="auto"/>
            <w:vAlign w:val="center"/>
          </w:tcPr>
          <w:p w14:paraId="5DC741F5" w14:textId="251D9BFA" w:rsidR="00F07FA7" w:rsidRPr="004F3D32" w:rsidRDefault="00F07FA7" w:rsidP="00F07FA7">
            <w:pPr>
              <w:tabs>
                <w:tab w:val="left" w:pos="567"/>
              </w:tabs>
              <w:spacing w:after="0" w:line="240" w:lineRule="auto"/>
              <w:rPr>
                <w:rFonts w:eastAsia="SimSun" w:cstheme="minorHAnsi"/>
                <w:bCs/>
                <w:lang w:eastAsia="zh-CN"/>
              </w:rPr>
            </w:pPr>
            <w:r w:rsidRPr="004F3D32">
              <w:rPr>
                <w:rFonts w:eastAsia="SimSun" w:cstheme="minorHAnsi"/>
                <w:bCs/>
                <w:lang w:eastAsia="zh-CN"/>
              </w:rPr>
              <w:t>Uredba</w:t>
            </w:r>
            <w:r w:rsidR="004F3D32" w:rsidRPr="004F3D32">
              <w:rPr>
                <w:rFonts w:eastAsia="SimSun" w:cstheme="minorHAnsi"/>
                <w:bCs/>
                <w:lang w:eastAsia="zh-CN"/>
              </w:rPr>
              <w:t xml:space="preserve"> STEP</w:t>
            </w:r>
          </w:p>
        </w:tc>
        <w:tc>
          <w:tcPr>
            <w:tcW w:w="7371" w:type="dxa"/>
            <w:shd w:val="clear" w:color="auto" w:fill="auto"/>
            <w:vAlign w:val="center"/>
          </w:tcPr>
          <w:p w14:paraId="403A36C2" w14:textId="6A6DD832" w:rsidR="00F07FA7" w:rsidRPr="004F3D32" w:rsidRDefault="004F3D32" w:rsidP="00C1201D">
            <w:pPr>
              <w:tabs>
                <w:tab w:val="left" w:pos="567"/>
              </w:tabs>
              <w:spacing w:after="0" w:line="240" w:lineRule="auto"/>
              <w:jc w:val="both"/>
              <w:rPr>
                <w:rFonts w:eastAsia="SimSun" w:cstheme="minorHAnsi"/>
                <w:bCs/>
                <w:lang w:eastAsia="zh-CN"/>
              </w:rPr>
            </w:pPr>
            <w:r w:rsidRPr="004F3D32">
              <w:rPr>
                <w:rFonts w:cstheme="minorHAnsi"/>
              </w:rPr>
              <w:t>Uredba o izvajanju uredbe (EU) o vzpostavitvi platforme za strateške tehnologije za Evropo (platforma STEP)</w:t>
            </w:r>
          </w:p>
        </w:tc>
      </w:tr>
      <w:tr w:rsidR="00F07FA7" w:rsidRPr="00001AA8" w14:paraId="790226FD" w14:textId="77777777" w:rsidTr="00B93695">
        <w:tc>
          <w:tcPr>
            <w:tcW w:w="1588" w:type="dxa"/>
            <w:shd w:val="clear" w:color="auto" w:fill="auto"/>
            <w:vAlign w:val="center"/>
          </w:tcPr>
          <w:p w14:paraId="12029A35" w14:textId="5D441693" w:rsidR="00F07FA7" w:rsidRPr="00001AA8" w:rsidRDefault="00F07FA7" w:rsidP="00F07FA7">
            <w:pPr>
              <w:tabs>
                <w:tab w:val="left" w:pos="567"/>
              </w:tabs>
              <w:spacing w:after="0" w:line="240" w:lineRule="auto"/>
              <w:rPr>
                <w:rFonts w:eastAsia="SimSun" w:cstheme="minorHAnsi"/>
                <w:bCs/>
                <w:lang w:eastAsia="zh-CN"/>
              </w:rPr>
            </w:pPr>
            <w:r>
              <w:rPr>
                <w:rFonts w:eastAsia="SimSun" w:cstheme="minorHAnsi"/>
                <w:bCs/>
                <w:lang w:eastAsia="zh-CN"/>
              </w:rPr>
              <w:t>UMAR</w:t>
            </w:r>
          </w:p>
        </w:tc>
        <w:tc>
          <w:tcPr>
            <w:tcW w:w="7371" w:type="dxa"/>
            <w:shd w:val="clear" w:color="auto" w:fill="auto"/>
            <w:vAlign w:val="center"/>
          </w:tcPr>
          <w:p w14:paraId="08E29F33" w14:textId="0FF52D91" w:rsidR="00F07FA7" w:rsidRPr="00001AA8" w:rsidRDefault="00F07FA7" w:rsidP="00C1201D">
            <w:pPr>
              <w:tabs>
                <w:tab w:val="left" w:pos="567"/>
              </w:tabs>
              <w:spacing w:after="0" w:line="240" w:lineRule="auto"/>
              <w:jc w:val="both"/>
              <w:rPr>
                <w:rFonts w:eastAsia="Calibri" w:cstheme="minorHAnsi"/>
              </w:rPr>
            </w:pPr>
            <w:r w:rsidRPr="00A6229B">
              <w:rPr>
                <w:rFonts w:eastAsia="Calibri" w:cstheme="minorHAnsi"/>
              </w:rPr>
              <w:t xml:space="preserve">Urad Republike Slovenije </w:t>
            </w:r>
            <w:r>
              <w:rPr>
                <w:rFonts w:eastAsia="Calibri" w:cstheme="minorHAnsi"/>
              </w:rPr>
              <w:t>z</w:t>
            </w:r>
            <w:r w:rsidRPr="00A6229B">
              <w:rPr>
                <w:rFonts w:eastAsia="Calibri" w:cstheme="minorHAnsi"/>
              </w:rPr>
              <w:t xml:space="preserve">a </w:t>
            </w:r>
            <w:r>
              <w:rPr>
                <w:rFonts w:eastAsia="Calibri" w:cstheme="minorHAnsi"/>
              </w:rPr>
              <w:t>m</w:t>
            </w:r>
            <w:r w:rsidRPr="00A6229B">
              <w:rPr>
                <w:rFonts w:eastAsia="Calibri" w:cstheme="minorHAnsi"/>
              </w:rPr>
              <w:t xml:space="preserve">akroekonomske </w:t>
            </w:r>
            <w:r>
              <w:rPr>
                <w:rFonts w:eastAsia="Calibri" w:cstheme="minorHAnsi"/>
              </w:rPr>
              <w:t>a</w:t>
            </w:r>
            <w:r w:rsidRPr="00A6229B">
              <w:rPr>
                <w:rFonts w:eastAsia="Calibri" w:cstheme="minorHAnsi"/>
              </w:rPr>
              <w:t xml:space="preserve">nalize </w:t>
            </w:r>
            <w:r>
              <w:rPr>
                <w:rFonts w:eastAsia="Calibri" w:cstheme="minorHAnsi"/>
              </w:rPr>
              <w:t>i</w:t>
            </w:r>
            <w:r w:rsidRPr="00A6229B">
              <w:rPr>
                <w:rFonts w:eastAsia="Calibri" w:cstheme="minorHAnsi"/>
              </w:rPr>
              <w:t xml:space="preserve">n </w:t>
            </w:r>
            <w:r>
              <w:rPr>
                <w:rFonts w:eastAsia="Calibri" w:cstheme="minorHAnsi"/>
              </w:rPr>
              <w:t>r</w:t>
            </w:r>
            <w:r w:rsidRPr="00A6229B">
              <w:rPr>
                <w:rFonts w:eastAsia="Calibri" w:cstheme="minorHAnsi"/>
              </w:rPr>
              <w:t>azvoj</w:t>
            </w:r>
          </w:p>
        </w:tc>
      </w:tr>
    </w:tbl>
    <w:p w14:paraId="2EBA7828" w14:textId="77777777" w:rsidR="00001AA8" w:rsidRPr="004B3A39" w:rsidRDefault="00001AA8">
      <w:pPr>
        <w:rPr>
          <w:rFonts w:cstheme="minorHAnsi"/>
        </w:rPr>
      </w:pPr>
    </w:p>
    <w:p w14:paraId="0EF3FD8B" w14:textId="77777777" w:rsidR="0070037E" w:rsidRPr="004B3A39" w:rsidRDefault="0070037E">
      <w:pPr>
        <w:rPr>
          <w:rFonts w:cstheme="minorHAnsi"/>
        </w:rPr>
        <w:sectPr w:rsidR="0070037E" w:rsidRPr="004B3A39" w:rsidSect="002048B8">
          <w:headerReference w:type="default" r:id="rId11"/>
          <w:pgSz w:w="11906" w:h="16838"/>
          <w:pgMar w:top="1417" w:right="1417" w:bottom="1417" w:left="1417" w:header="708" w:footer="708" w:gutter="0"/>
          <w:cols w:space="708"/>
          <w:docGrid w:linePitch="360"/>
        </w:sectPr>
      </w:pPr>
    </w:p>
    <w:p w14:paraId="58F1EFF3" w14:textId="1477CA9E" w:rsidR="006E4F62" w:rsidRPr="00E00C61" w:rsidRDefault="00E016AD" w:rsidP="00146988">
      <w:pPr>
        <w:pStyle w:val="Naslov1"/>
        <w:rPr>
          <w:rFonts w:asciiTheme="minorHAnsi" w:hAnsiTheme="minorHAnsi"/>
        </w:rPr>
      </w:pPr>
      <w:bookmarkStart w:id="0" w:name="_Toc191383836"/>
      <w:r>
        <w:lastRenderedPageBreak/>
        <w:t>UVOD</w:t>
      </w:r>
      <w:bookmarkEnd w:id="0"/>
      <w:r>
        <w:t xml:space="preserve"> </w:t>
      </w:r>
    </w:p>
    <w:p w14:paraId="560AA2F5" w14:textId="77777777" w:rsidR="00C21FF0" w:rsidRPr="004B3A39" w:rsidRDefault="00C21FF0" w:rsidP="00E00C61">
      <w:pPr>
        <w:spacing w:after="0"/>
        <w:rPr>
          <w:rFonts w:cstheme="minorHAnsi"/>
        </w:rPr>
      </w:pPr>
    </w:p>
    <w:p w14:paraId="661FFE95" w14:textId="2DCA1982" w:rsidR="006E4F62" w:rsidRPr="00760426" w:rsidRDefault="006E4F62" w:rsidP="00C21FF0">
      <w:pPr>
        <w:spacing w:after="0"/>
        <w:jc w:val="both"/>
        <w:rPr>
          <w:rFonts w:cstheme="minorHAnsi"/>
        </w:rPr>
      </w:pPr>
      <w:r w:rsidRPr="000453B0">
        <w:rPr>
          <w:rFonts w:cstheme="minorHAnsi"/>
        </w:rPr>
        <w:t xml:space="preserve">Vlada Republike Slovenije je dne </w:t>
      </w:r>
      <w:r w:rsidR="000453B0" w:rsidRPr="000453B0">
        <w:rPr>
          <w:rFonts w:cstheme="minorHAnsi"/>
        </w:rPr>
        <w:t xml:space="preserve">24. 10. 2024 </w:t>
      </w:r>
      <w:r w:rsidR="00763F64">
        <w:rPr>
          <w:rFonts w:cstheme="minorHAnsi"/>
        </w:rPr>
        <w:t>sprejela</w:t>
      </w:r>
      <w:r w:rsidR="000453B0" w:rsidRPr="000453B0">
        <w:rPr>
          <w:rFonts w:cstheme="minorHAnsi"/>
        </w:rPr>
        <w:t xml:space="preserve"> sklep št. 54402-4/2022/17.</w:t>
      </w:r>
      <w:r w:rsidR="000453B0">
        <w:rPr>
          <w:rFonts w:cstheme="minorHAnsi"/>
        </w:rPr>
        <w:t xml:space="preserve"> Vlada </w:t>
      </w:r>
      <w:r w:rsidR="00695B6A">
        <w:rPr>
          <w:rFonts w:cstheme="minorHAnsi"/>
        </w:rPr>
        <w:t xml:space="preserve">se je s sklepom </w:t>
      </w:r>
      <w:r w:rsidRPr="00760426">
        <w:rPr>
          <w:rFonts w:cstheme="minorHAnsi"/>
        </w:rPr>
        <w:t>seznanila z izhodišči za spremembo Programa evropske kohezijske politike v obdobju 2021</w:t>
      </w:r>
      <w:r w:rsidR="003A41E8" w:rsidRPr="00760426">
        <w:rPr>
          <w:rFonts w:cstheme="minorHAnsi"/>
          <w:color w:val="474747"/>
          <w:shd w:val="clear" w:color="auto" w:fill="FFFFFF"/>
        </w:rPr>
        <w:t>–</w:t>
      </w:r>
      <w:r w:rsidRPr="00760426">
        <w:rPr>
          <w:rFonts w:cstheme="minorHAnsi"/>
        </w:rPr>
        <w:t>2027 ter z možnostmi vključitve platforme STEP v izvajanje evropske kohezijske politike. Vlada je naložila Ministrstvu za kohezijo in regionalni razvoj, da ob upoštevanju navedenega pripravi spremembo Programa evropske kohezijske politike v obdobju 2021</w:t>
      </w:r>
      <w:r w:rsidR="003A41E8" w:rsidRPr="00760426">
        <w:rPr>
          <w:rFonts w:cstheme="minorHAnsi"/>
        </w:rPr>
        <w:t>–</w:t>
      </w:r>
      <w:r w:rsidRPr="00760426">
        <w:rPr>
          <w:rFonts w:cstheme="minorHAnsi"/>
        </w:rPr>
        <w:t xml:space="preserve">2027, jo uskladi s pristojnimi resorji ter Evropsko komisijo in predloži Vladi v sprejem najkasneje do konca </w:t>
      </w:r>
      <w:r w:rsidR="00D7373D">
        <w:rPr>
          <w:rFonts w:cstheme="minorHAnsi"/>
        </w:rPr>
        <w:t>februarja</w:t>
      </w:r>
      <w:r w:rsidR="00D7373D" w:rsidRPr="00760426">
        <w:rPr>
          <w:rFonts w:cstheme="minorHAnsi"/>
        </w:rPr>
        <w:t xml:space="preserve"> </w:t>
      </w:r>
      <w:r w:rsidRPr="00760426">
        <w:rPr>
          <w:rFonts w:cstheme="minorHAnsi"/>
        </w:rPr>
        <w:t>2025.</w:t>
      </w:r>
    </w:p>
    <w:p w14:paraId="7F3284B3" w14:textId="77777777" w:rsidR="00C21FF0" w:rsidRPr="00760426" w:rsidRDefault="00C21FF0" w:rsidP="00C87A4A">
      <w:pPr>
        <w:spacing w:after="0"/>
        <w:jc w:val="both"/>
        <w:rPr>
          <w:rFonts w:cstheme="minorHAnsi"/>
        </w:rPr>
      </w:pPr>
    </w:p>
    <w:p w14:paraId="38CD8514" w14:textId="19EF504A" w:rsidR="00C87A4A" w:rsidRPr="00760426" w:rsidRDefault="00C87A4A" w:rsidP="00C87A4A">
      <w:pPr>
        <w:pStyle w:val="Brezrazmikov"/>
        <w:spacing w:line="264" w:lineRule="auto"/>
        <w:jc w:val="both"/>
        <w:rPr>
          <w:rFonts w:cstheme="minorHAnsi"/>
        </w:rPr>
      </w:pPr>
      <w:r w:rsidRPr="00760426">
        <w:rPr>
          <w:rFonts w:cstheme="minorHAnsi"/>
        </w:rPr>
        <w:t>Slovenija se sooča z vrsto ključnih gospodarskih, družbenih in tehnoloških izzivov, ki zahtevajo prilagoditev obstoječega Programa evropske kohezijske politike 2021–2027 (PEKP). Počasna rast produktivnosti, premalo vlaganj v raziskave, razvoj in inovacije ter pomanjkanje kompetenc za preboj v strateških tehnologijah ogrožajo dolgoročno konkurenčnost in odpornost gospodarstva. Vmesno poročilo o izvajanju PEKP</w:t>
      </w:r>
      <w:r w:rsidR="00F21D95">
        <w:rPr>
          <w:rFonts w:cstheme="minorHAnsi"/>
        </w:rPr>
        <w:t xml:space="preserve"> 21</w:t>
      </w:r>
      <w:r w:rsidR="00DE49C2" w:rsidRPr="00DE49C2">
        <w:rPr>
          <w:rFonts w:cstheme="minorHAnsi"/>
        </w:rPr>
        <w:t>–</w:t>
      </w:r>
      <w:r w:rsidR="00F21D95">
        <w:rPr>
          <w:rFonts w:cstheme="minorHAnsi"/>
        </w:rPr>
        <w:t>27</w:t>
      </w:r>
      <w:r w:rsidRPr="00760426">
        <w:rPr>
          <w:rFonts w:cstheme="minorHAnsi"/>
        </w:rPr>
        <w:t xml:space="preserve"> poudarja zamude pri izvedbi operacij in izpostavlja tveganja nedoseganja načrtovanih ciljev in kazalnikov, zlasti zaradi neskladja med načrtovanjem in izvedljivostjo ukrepov. Poleg tega spremenjene okoliščine, kot so hitro spreminjajoča se geopolitična tveganja, potreba po digitalni in zeleni preobrazbi ter naravne nesreče, zahtevajo proaktivne ukrepe za prilagoditev programa.</w:t>
      </w:r>
    </w:p>
    <w:p w14:paraId="3F771B7E" w14:textId="77777777" w:rsidR="00C87A4A" w:rsidRPr="00760426" w:rsidRDefault="00C87A4A" w:rsidP="00E00C61">
      <w:pPr>
        <w:pStyle w:val="Brezrazmikov"/>
        <w:spacing w:line="264" w:lineRule="auto"/>
        <w:jc w:val="both"/>
        <w:rPr>
          <w:rFonts w:cstheme="minorHAnsi"/>
        </w:rPr>
      </w:pPr>
    </w:p>
    <w:p w14:paraId="576698B3" w14:textId="03552E1C" w:rsidR="00C87A4A" w:rsidRPr="00760426" w:rsidRDefault="00C87A4A" w:rsidP="00C87A4A">
      <w:pPr>
        <w:pStyle w:val="Brezrazmikov"/>
        <w:spacing w:line="264" w:lineRule="auto"/>
        <w:jc w:val="both"/>
      </w:pPr>
      <w:r w:rsidRPr="3C42B6BA">
        <w:t xml:space="preserve">Trenutno izvajanje </w:t>
      </w:r>
      <w:r w:rsidR="00F41023" w:rsidRPr="3C42B6BA">
        <w:t>programa</w:t>
      </w:r>
      <w:r w:rsidR="00F21D95" w:rsidRPr="3C42B6BA">
        <w:t xml:space="preserve"> </w:t>
      </w:r>
      <w:r w:rsidRPr="3C42B6BA">
        <w:t xml:space="preserve">kaže na </w:t>
      </w:r>
      <w:r w:rsidR="00694E4B" w:rsidRPr="3C42B6BA">
        <w:t xml:space="preserve">zamike pri izvajanju ukrepov v </w:t>
      </w:r>
      <w:r w:rsidR="008D677B" w:rsidRPr="3C42B6BA">
        <w:t>okviru</w:t>
      </w:r>
      <w:r w:rsidR="00694E4B" w:rsidRPr="3C42B6BA">
        <w:t xml:space="preserve"> PEKP</w:t>
      </w:r>
      <w:r w:rsidRPr="3C42B6BA">
        <w:t xml:space="preserve">, saj je bilo do </w:t>
      </w:r>
      <w:r w:rsidR="00E00C61" w:rsidRPr="3C42B6BA">
        <w:t xml:space="preserve">konca </w:t>
      </w:r>
      <w:r w:rsidRPr="3C42B6BA">
        <w:t xml:space="preserve">leta 2024 potrjenih le </w:t>
      </w:r>
      <w:r w:rsidR="00E00C61" w:rsidRPr="3C42B6BA">
        <w:t>25</w:t>
      </w:r>
      <w:r w:rsidRPr="3C42B6BA">
        <w:t xml:space="preserve"> % zneska načrtovanih operacij in zgolj</w:t>
      </w:r>
      <w:r w:rsidR="008743E3" w:rsidRPr="3C42B6BA">
        <w:t xml:space="preserve"> </w:t>
      </w:r>
      <w:r w:rsidR="009315F3" w:rsidRPr="3C42B6BA">
        <w:t>2</w:t>
      </w:r>
      <w:r w:rsidRPr="3C42B6BA">
        <w:t xml:space="preserve"> % izplačil. Če ne ukrepamo pravočasno, obstaja resno tveganje, da Slovenija ne bo dosegla strateških ciljev in kazalnikov programa. Posebno pozornost je treba nameniti odpravi ugotovljenih vrzeli v načrtovanju in usklajenosti ukrepov z razpoložljivimi sredstvi ter prednostnimi nalogami EU.</w:t>
      </w:r>
      <w:r w:rsidR="004B7A56" w:rsidRPr="3C42B6BA">
        <w:t xml:space="preserve"> Sprememba PEKP je zasnovana tako, da poleg že sprejetih izhodišč, ki jih je VRS sprejela v oktobru 2024, dodatno naslovi še zgoraj navedene izzive. </w:t>
      </w:r>
      <w:r w:rsidR="004B7A56">
        <w:t>Kjer</w:t>
      </w:r>
      <w:r w:rsidR="004B7A56" w:rsidRPr="3C42B6BA">
        <w:t xml:space="preserve"> s predlogi posega tudi v druge programe EU sredstev je potrebna predhodna uskladitev s pristojnimi resorji in organi izvajanja ter Evropsko komisijo.</w:t>
      </w:r>
    </w:p>
    <w:p w14:paraId="15FCE266" w14:textId="77777777" w:rsidR="00C87A4A" w:rsidRPr="00760426" w:rsidRDefault="00C87A4A" w:rsidP="00E00C61">
      <w:pPr>
        <w:pStyle w:val="Brezrazmikov"/>
        <w:spacing w:line="264" w:lineRule="auto"/>
        <w:jc w:val="both"/>
        <w:rPr>
          <w:rFonts w:cstheme="minorHAnsi"/>
        </w:rPr>
      </w:pPr>
    </w:p>
    <w:p w14:paraId="21860E97" w14:textId="13B8296A" w:rsidR="00C87A4A" w:rsidRPr="00760426" w:rsidRDefault="00C87A4A" w:rsidP="003F43A7">
      <w:pPr>
        <w:pStyle w:val="Brezrazmikov"/>
        <w:spacing w:line="264" w:lineRule="auto"/>
        <w:jc w:val="both"/>
        <w:rPr>
          <w:rFonts w:cstheme="minorHAnsi"/>
        </w:rPr>
      </w:pPr>
      <w:r w:rsidRPr="00760426">
        <w:rPr>
          <w:rFonts w:cstheme="minorHAnsi"/>
        </w:rPr>
        <w:t xml:space="preserve">Sprememba PEKP je zasnovana tako, da odgovori na te izzive in omogoči Sloveniji </w:t>
      </w:r>
      <w:r w:rsidR="004B7A56">
        <w:rPr>
          <w:rFonts w:cstheme="minorHAnsi"/>
        </w:rPr>
        <w:t xml:space="preserve">tudi </w:t>
      </w:r>
      <w:r w:rsidRPr="00760426">
        <w:rPr>
          <w:rFonts w:cstheme="minorHAnsi"/>
        </w:rPr>
        <w:t>boljše usklajevanje z novimi strateškimi prioritetami EU, kot je platforma STEP</w:t>
      </w:r>
      <w:r w:rsidR="009D58BF">
        <w:rPr>
          <w:rFonts w:cstheme="minorHAnsi"/>
        </w:rPr>
        <w:t xml:space="preserve"> (</w:t>
      </w:r>
      <w:proofErr w:type="spellStart"/>
      <w:r w:rsidR="009D58BF" w:rsidRPr="009D58BF">
        <w:rPr>
          <w:rFonts w:cstheme="minorHAnsi"/>
        </w:rPr>
        <w:t>Strategic</w:t>
      </w:r>
      <w:proofErr w:type="spellEnd"/>
      <w:r w:rsidR="009D58BF" w:rsidRPr="009D58BF">
        <w:rPr>
          <w:rFonts w:cstheme="minorHAnsi"/>
        </w:rPr>
        <w:t xml:space="preserve"> Technologies </w:t>
      </w:r>
      <w:proofErr w:type="spellStart"/>
      <w:r w:rsidR="009D58BF" w:rsidRPr="009D58BF">
        <w:rPr>
          <w:rFonts w:cstheme="minorHAnsi"/>
        </w:rPr>
        <w:t>for</w:t>
      </w:r>
      <w:proofErr w:type="spellEnd"/>
      <w:r w:rsidR="009D58BF" w:rsidRPr="009D58BF">
        <w:rPr>
          <w:rFonts w:cstheme="minorHAnsi"/>
        </w:rPr>
        <w:t xml:space="preserve"> </w:t>
      </w:r>
      <w:proofErr w:type="spellStart"/>
      <w:r w:rsidR="009D58BF" w:rsidRPr="009D58BF">
        <w:rPr>
          <w:rFonts w:cstheme="minorHAnsi"/>
        </w:rPr>
        <w:t>Europe</w:t>
      </w:r>
      <w:proofErr w:type="spellEnd"/>
      <w:r w:rsidR="009D58BF" w:rsidRPr="009D58BF">
        <w:rPr>
          <w:rFonts w:cstheme="minorHAnsi"/>
        </w:rPr>
        <w:t xml:space="preserve"> Platform</w:t>
      </w:r>
      <w:r w:rsidR="009D58BF">
        <w:rPr>
          <w:rFonts w:cstheme="minorHAnsi"/>
        </w:rPr>
        <w:t>)</w:t>
      </w:r>
      <w:r w:rsidRPr="00760426">
        <w:rPr>
          <w:rFonts w:cstheme="minorHAnsi"/>
        </w:rPr>
        <w:t xml:space="preserve">. Ta sprememba vključuje uvedbo specifičnega cilja za razvoj in proizvodnjo strateških tehnologij, kar bo okrepilo zmogljivosti Slovenije za doseganje ciljev prednostne naloge Inovacijska družba znanja ter omogočilo večjo strateško avtonomijo in boljšo integracijo v evropske verige vrednosti. Poleg tega platforma STEP uvaja pečat suverenosti, ki omogoča financiranja pozitivno ocenjenih projektov </w:t>
      </w:r>
      <w:r w:rsidR="00F21D95">
        <w:rPr>
          <w:rFonts w:cstheme="minorHAnsi"/>
        </w:rPr>
        <w:t xml:space="preserve">slovenskih prijaviteljev </w:t>
      </w:r>
      <w:r w:rsidRPr="00760426">
        <w:rPr>
          <w:rFonts w:cstheme="minorHAnsi"/>
        </w:rPr>
        <w:t>na centraliziranih razpisih. S tem Slovenija pridobiva priložnost za hitrejš</w:t>
      </w:r>
      <w:r w:rsidR="00F21D95">
        <w:rPr>
          <w:rFonts w:cstheme="minorHAnsi"/>
        </w:rPr>
        <w:t>e</w:t>
      </w:r>
      <w:r w:rsidRPr="00760426">
        <w:rPr>
          <w:rFonts w:cstheme="minorHAnsi"/>
        </w:rPr>
        <w:t xml:space="preserve"> </w:t>
      </w:r>
      <w:r w:rsidR="00F21D95">
        <w:rPr>
          <w:rFonts w:cstheme="minorHAnsi"/>
        </w:rPr>
        <w:t>koriščenje</w:t>
      </w:r>
      <w:r w:rsidR="00F21D95" w:rsidRPr="00760426">
        <w:rPr>
          <w:rFonts w:cstheme="minorHAnsi"/>
        </w:rPr>
        <w:t xml:space="preserve"> </w:t>
      </w:r>
      <w:r w:rsidRPr="00760426">
        <w:rPr>
          <w:rFonts w:cstheme="minorHAnsi"/>
        </w:rPr>
        <w:t xml:space="preserve">sredstev za inovacije in okrepitev svoje konkurenčnosti na področju naprednih tehnologij. Prilagoditev specifičnega cilja 2.3 </w:t>
      </w:r>
      <w:r w:rsidR="00F21D95" w:rsidRPr="000B3E1A">
        <w:rPr>
          <w:rFonts w:cstheme="minorHAnsi"/>
          <w:i/>
          <w:iCs/>
        </w:rPr>
        <w:t>Razvoj pametnih energetskih sistemov, omrežij in hrambe zunaj vseevropskega energetskega omrežja</w:t>
      </w:r>
      <w:r w:rsidR="00F21D95" w:rsidRPr="00F21D95">
        <w:rPr>
          <w:rFonts w:cstheme="minorHAnsi"/>
        </w:rPr>
        <w:t xml:space="preserve"> </w:t>
      </w:r>
      <w:r w:rsidRPr="00760426">
        <w:rPr>
          <w:rFonts w:cstheme="minorHAnsi"/>
        </w:rPr>
        <w:t>z novim ukrepom za spodbujanje naložb v pametna omrežja pa dodatno podpira trajnostno naravnane ukrepe in pospeševanje zelene in digitalne preobrazbe.</w:t>
      </w:r>
    </w:p>
    <w:p w14:paraId="3A31B14D" w14:textId="77777777" w:rsidR="003F43A7" w:rsidRPr="00760426" w:rsidRDefault="003F43A7" w:rsidP="003F43A7">
      <w:pPr>
        <w:pStyle w:val="Brezrazmikov"/>
        <w:spacing w:line="264" w:lineRule="auto"/>
        <w:jc w:val="both"/>
        <w:rPr>
          <w:rFonts w:cstheme="minorHAnsi"/>
        </w:rPr>
      </w:pPr>
    </w:p>
    <w:p w14:paraId="63B6F38F" w14:textId="77777777" w:rsidR="004F1641" w:rsidRPr="00760426" w:rsidRDefault="00C87A4A" w:rsidP="003F43A7">
      <w:pPr>
        <w:pStyle w:val="Brezrazmikov"/>
        <w:spacing w:line="264" w:lineRule="auto"/>
        <w:jc w:val="both"/>
        <w:rPr>
          <w:rFonts w:cstheme="minorHAnsi"/>
        </w:rPr>
        <w:sectPr w:rsidR="004F1641" w:rsidRPr="00760426" w:rsidSect="002E1975">
          <w:pgSz w:w="11906" w:h="16838"/>
          <w:pgMar w:top="1417" w:right="1417" w:bottom="1417" w:left="1417" w:header="708" w:footer="708" w:gutter="0"/>
          <w:cols w:space="708"/>
          <w:docGrid w:linePitch="360"/>
        </w:sectPr>
      </w:pPr>
      <w:r w:rsidRPr="00760426">
        <w:rPr>
          <w:rFonts w:cstheme="minorHAnsi"/>
        </w:rPr>
        <w:t>S temi spremembami Slovenija ne le odgovarja na aktualne izzive, temveč se tudi postavlja kot pomemben akter v evropskem inovacijskem ekosistemu, s čimer utrjuje svojo vlogo v strateških projektih EU in povečuje odpornost, trajnost ter konkurenčnost svojega gospodarstva.</w:t>
      </w:r>
    </w:p>
    <w:p w14:paraId="7FCFBD9A" w14:textId="1786E985" w:rsidR="003F43A7" w:rsidRPr="00670DB8" w:rsidRDefault="00E016AD" w:rsidP="00E00C61">
      <w:pPr>
        <w:pStyle w:val="Naslov1"/>
        <w:rPr>
          <w:rFonts w:cs="Arial"/>
        </w:rPr>
      </w:pPr>
      <w:bookmarkStart w:id="1" w:name="_Toc191383837"/>
      <w:r w:rsidRPr="00670DB8">
        <w:rPr>
          <w:rFonts w:cs="Arial"/>
        </w:rPr>
        <w:lastRenderedPageBreak/>
        <w:t>STANJE</w:t>
      </w:r>
      <w:bookmarkEnd w:id="1"/>
    </w:p>
    <w:p w14:paraId="5FA9C6A9" w14:textId="77777777" w:rsidR="003F43A7" w:rsidRPr="004B3A39" w:rsidRDefault="003F43A7" w:rsidP="00E00C61">
      <w:pPr>
        <w:spacing w:after="0"/>
        <w:rPr>
          <w:rFonts w:cstheme="minorHAnsi"/>
        </w:rPr>
      </w:pPr>
    </w:p>
    <w:p w14:paraId="0F373C35" w14:textId="77777777" w:rsidR="003F43A7" w:rsidRPr="00670DB8" w:rsidRDefault="003F43A7" w:rsidP="00446D40">
      <w:pPr>
        <w:pStyle w:val="Naslov2"/>
        <w:numPr>
          <w:ilvl w:val="1"/>
          <w:numId w:val="2"/>
        </w:numPr>
        <w:rPr>
          <w:rFonts w:cs="Arial"/>
        </w:rPr>
      </w:pPr>
      <w:bookmarkStart w:id="2" w:name="_Toc191383838"/>
      <w:r w:rsidRPr="00670DB8">
        <w:rPr>
          <w:rFonts w:cs="Arial"/>
        </w:rPr>
        <w:t>Prikaz stanja koriščenja po resorjih (tabela)</w:t>
      </w:r>
      <w:bookmarkEnd w:id="2"/>
    </w:p>
    <w:p w14:paraId="6CA243A4" w14:textId="77777777" w:rsidR="004F1641" w:rsidRPr="004F1641" w:rsidRDefault="004F1641" w:rsidP="004F1641">
      <w:pPr>
        <w:spacing w:after="0"/>
      </w:pPr>
    </w:p>
    <w:p w14:paraId="2891F8A3" w14:textId="1BF83ACA" w:rsidR="004F1641" w:rsidRDefault="004F1641" w:rsidP="004F1641">
      <w:pPr>
        <w:pStyle w:val="Napis"/>
        <w:keepNext/>
        <w:spacing w:after="0"/>
        <w:rPr>
          <w:rFonts w:eastAsia="Calibri" w:cs="Calibri"/>
          <w:i w:val="0"/>
          <w:iCs w:val="0"/>
          <w:color w:val="auto"/>
          <w:sz w:val="20"/>
          <w:szCs w:val="20"/>
        </w:rPr>
      </w:pPr>
      <w:bookmarkStart w:id="3" w:name="_Toc191459945"/>
      <w:r w:rsidRPr="00E600E2">
        <w:rPr>
          <w:i w:val="0"/>
          <w:iCs w:val="0"/>
          <w:color w:val="auto"/>
        </w:rPr>
        <w:t xml:space="preserve">Tabela </w:t>
      </w:r>
      <w:r w:rsidRPr="00E600E2">
        <w:rPr>
          <w:i w:val="0"/>
          <w:iCs w:val="0"/>
          <w:color w:val="auto"/>
        </w:rPr>
        <w:fldChar w:fldCharType="begin"/>
      </w:r>
      <w:r w:rsidRPr="00E600E2">
        <w:rPr>
          <w:i w:val="0"/>
          <w:iCs w:val="0"/>
          <w:color w:val="auto"/>
        </w:rPr>
        <w:instrText xml:space="preserve"> SEQ Tabela \* ARABIC </w:instrText>
      </w:r>
      <w:r w:rsidRPr="00E600E2">
        <w:rPr>
          <w:i w:val="0"/>
          <w:iCs w:val="0"/>
          <w:color w:val="auto"/>
        </w:rPr>
        <w:fldChar w:fldCharType="separate"/>
      </w:r>
      <w:r w:rsidR="00784805">
        <w:rPr>
          <w:i w:val="0"/>
          <w:iCs w:val="0"/>
          <w:noProof/>
          <w:color w:val="auto"/>
        </w:rPr>
        <w:t>1</w:t>
      </w:r>
      <w:r w:rsidRPr="00E600E2">
        <w:rPr>
          <w:i w:val="0"/>
          <w:iCs w:val="0"/>
          <w:color w:val="auto"/>
        </w:rPr>
        <w:fldChar w:fldCharType="end"/>
      </w:r>
      <w:r w:rsidRPr="00E600E2">
        <w:rPr>
          <w:i w:val="0"/>
          <w:iCs w:val="0"/>
          <w:color w:val="auto"/>
        </w:rPr>
        <w:t xml:space="preserve">: </w:t>
      </w:r>
      <w:r w:rsidR="00C266F1" w:rsidRPr="00E600E2">
        <w:rPr>
          <w:rFonts w:eastAsia="Calibri" w:cs="Calibri"/>
          <w:i w:val="0"/>
          <w:iCs w:val="0"/>
          <w:color w:val="auto"/>
          <w:sz w:val="20"/>
          <w:szCs w:val="20"/>
        </w:rPr>
        <w:t>S</w:t>
      </w:r>
      <w:r w:rsidR="00B26891" w:rsidRPr="00E600E2">
        <w:rPr>
          <w:rFonts w:eastAsia="Calibri" w:cs="Calibri"/>
          <w:i w:val="0"/>
          <w:iCs w:val="0"/>
          <w:color w:val="auto"/>
          <w:sz w:val="20"/>
          <w:szCs w:val="20"/>
        </w:rPr>
        <w:t xml:space="preserve">tanje koriščenja </w:t>
      </w:r>
      <w:r w:rsidR="00855B59" w:rsidRPr="00E600E2">
        <w:rPr>
          <w:rFonts w:eastAsia="Calibri" w:cs="Calibri"/>
          <w:i w:val="0"/>
          <w:iCs w:val="0"/>
          <w:color w:val="auto"/>
          <w:sz w:val="20"/>
          <w:szCs w:val="20"/>
        </w:rPr>
        <w:t>EKP</w:t>
      </w:r>
      <w:r w:rsidR="00B26891" w:rsidRPr="00E600E2">
        <w:rPr>
          <w:rFonts w:eastAsia="Calibri" w:cs="Calibri"/>
          <w:i w:val="0"/>
          <w:iCs w:val="0"/>
          <w:color w:val="auto"/>
          <w:sz w:val="20"/>
          <w:szCs w:val="20"/>
        </w:rPr>
        <w:t xml:space="preserve"> sredstev (</w:t>
      </w:r>
      <w:r w:rsidR="00855B59" w:rsidRPr="00E600E2">
        <w:rPr>
          <w:rFonts w:eastAsia="Calibri" w:cs="Calibri"/>
          <w:i w:val="0"/>
          <w:iCs w:val="0"/>
          <w:color w:val="auto"/>
          <w:sz w:val="20"/>
          <w:szCs w:val="20"/>
        </w:rPr>
        <w:t>EU</w:t>
      </w:r>
      <w:r w:rsidR="00B26891" w:rsidRPr="00E600E2">
        <w:rPr>
          <w:rFonts w:eastAsia="Calibri" w:cs="Calibri"/>
          <w:i w:val="0"/>
          <w:iCs w:val="0"/>
          <w:color w:val="auto"/>
          <w:sz w:val="20"/>
          <w:szCs w:val="20"/>
        </w:rPr>
        <w:t xml:space="preserve"> del) po ciljih politik v programskem obdobju 2021–2027</w:t>
      </w:r>
      <w:bookmarkEnd w:id="3"/>
    </w:p>
    <w:p w14:paraId="6E3ECF60" w14:textId="77777777" w:rsidR="00F67098" w:rsidRPr="00F67098" w:rsidRDefault="00F67098" w:rsidP="00F67098">
      <w:pPr>
        <w:spacing w:after="0"/>
      </w:pPr>
    </w:p>
    <w:tbl>
      <w:tblPr>
        <w:tblW w:w="13661" w:type="dxa"/>
        <w:tblCellMar>
          <w:left w:w="70" w:type="dxa"/>
          <w:right w:w="70" w:type="dxa"/>
        </w:tblCellMar>
        <w:tblLook w:val="04A0" w:firstRow="1" w:lastRow="0" w:firstColumn="1" w:lastColumn="0" w:noHBand="0" w:noVBand="1"/>
      </w:tblPr>
      <w:tblGrid>
        <w:gridCol w:w="980"/>
        <w:gridCol w:w="1163"/>
        <w:gridCol w:w="981"/>
        <w:gridCol w:w="1148"/>
        <w:gridCol w:w="1761"/>
        <w:gridCol w:w="1557"/>
        <w:gridCol w:w="981"/>
        <w:gridCol w:w="1516"/>
        <w:gridCol w:w="981"/>
        <w:gridCol w:w="1637"/>
        <w:gridCol w:w="981"/>
        <w:gridCol w:w="152"/>
      </w:tblGrid>
      <w:tr w:rsidR="00377F4B" w:rsidRPr="0049644E" w14:paraId="43BD4FE9" w14:textId="77777777" w:rsidTr="009E5A3A">
        <w:trPr>
          <w:gridAfter w:val="1"/>
          <w:wAfter w:w="155" w:type="dxa"/>
          <w:trHeight w:val="408"/>
        </w:trPr>
        <w:tc>
          <w:tcPr>
            <w:tcW w:w="980" w:type="dxa"/>
            <w:vMerge w:val="restart"/>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hideMark/>
          </w:tcPr>
          <w:p w14:paraId="43AEA543" w14:textId="77777777" w:rsidR="00377F4B" w:rsidRPr="00DA38E9" w:rsidRDefault="00377F4B" w:rsidP="00F65513">
            <w:pPr>
              <w:spacing w:line="240" w:lineRule="auto"/>
              <w:jc w:val="center"/>
              <w:rPr>
                <w:rFonts w:cs="Arial"/>
                <w:szCs w:val="20"/>
                <w:lang w:eastAsia="sl-SI"/>
              </w:rPr>
            </w:pPr>
            <w:bookmarkStart w:id="4" w:name="_Hlk187326181"/>
            <w:r w:rsidRPr="00DA38E9">
              <w:rPr>
                <w:rFonts w:cs="Arial"/>
                <w:szCs w:val="20"/>
                <w:lang w:eastAsia="sl-SI"/>
              </w:rPr>
              <w:t>Cilj politike</w:t>
            </w:r>
          </w:p>
        </w:tc>
        <w:tc>
          <w:tcPr>
            <w:tcW w:w="983" w:type="dxa"/>
            <w:vMerge w:val="restart"/>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hideMark/>
          </w:tcPr>
          <w:p w14:paraId="1E06DE53" w14:textId="77777777" w:rsidR="00377F4B" w:rsidRPr="00DA38E9" w:rsidRDefault="00377F4B" w:rsidP="00F65513">
            <w:pPr>
              <w:spacing w:line="240" w:lineRule="auto"/>
              <w:jc w:val="center"/>
              <w:rPr>
                <w:rFonts w:cs="Arial"/>
                <w:szCs w:val="20"/>
                <w:lang w:eastAsia="sl-SI"/>
              </w:rPr>
            </w:pPr>
            <w:r w:rsidRPr="00DA38E9">
              <w:rPr>
                <w:rFonts w:cs="Arial"/>
                <w:szCs w:val="20"/>
                <w:lang w:eastAsia="sl-SI"/>
              </w:rPr>
              <w:t>Prednostna naloga</w:t>
            </w:r>
          </w:p>
        </w:tc>
        <w:tc>
          <w:tcPr>
            <w:tcW w:w="981" w:type="dxa"/>
            <w:vMerge w:val="restart"/>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hideMark/>
          </w:tcPr>
          <w:p w14:paraId="088BC79C" w14:textId="77777777" w:rsidR="00377F4B" w:rsidRPr="00DA38E9" w:rsidRDefault="00377F4B" w:rsidP="00F65513">
            <w:pPr>
              <w:spacing w:line="240" w:lineRule="auto"/>
              <w:jc w:val="center"/>
              <w:rPr>
                <w:rFonts w:cs="Arial"/>
                <w:szCs w:val="20"/>
                <w:lang w:eastAsia="sl-SI"/>
              </w:rPr>
            </w:pPr>
            <w:r w:rsidRPr="00DA38E9">
              <w:rPr>
                <w:rFonts w:cs="Arial"/>
                <w:szCs w:val="20"/>
                <w:lang w:eastAsia="sl-SI"/>
              </w:rPr>
              <w:t>Sklad</w:t>
            </w:r>
          </w:p>
        </w:tc>
        <w:tc>
          <w:tcPr>
            <w:tcW w:w="1148" w:type="dxa"/>
            <w:vMerge w:val="restart"/>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hideMark/>
          </w:tcPr>
          <w:p w14:paraId="75755AA6" w14:textId="77777777" w:rsidR="00377F4B" w:rsidRPr="00DA38E9" w:rsidRDefault="00377F4B" w:rsidP="00F65513">
            <w:pPr>
              <w:spacing w:line="240" w:lineRule="auto"/>
              <w:jc w:val="center"/>
              <w:rPr>
                <w:rFonts w:cs="Arial"/>
                <w:szCs w:val="20"/>
                <w:lang w:eastAsia="sl-SI"/>
              </w:rPr>
            </w:pPr>
            <w:r w:rsidRPr="00DA38E9">
              <w:rPr>
                <w:rFonts w:cs="Arial"/>
                <w:szCs w:val="20"/>
                <w:lang w:eastAsia="sl-SI"/>
              </w:rPr>
              <w:t>Regija</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2238E3D" w14:textId="77777777" w:rsidR="00377F4B" w:rsidRPr="00DA38E9" w:rsidRDefault="00377F4B" w:rsidP="00F65513">
            <w:pPr>
              <w:spacing w:line="240" w:lineRule="auto"/>
              <w:jc w:val="center"/>
              <w:rPr>
                <w:rFonts w:cs="Arial"/>
                <w:szCs w:val="20"/>
                <w:lang w:eastAsia="sl-SI"/>
              </w:rPr>
            </w:pPr>
            <w:r w:rsidRPr="00DA38E9">
              <w:rPr>
                <w:rFonts w:cs="Arial"/>
                <w:szCs w:val="20"/>
                <w:lang w:eastAsia="sl-SI"/>
              </w:rPr>
              <w:t>Pravice porabe brez tehnične pomoči</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9147E6C" w14:textId="77777777" w:rsidR="00377F4B" w:rsidRPr="00DA38E9" w:rsidRDefault="00377F4B" w:rsidP="00F65513">
            <w:pPr>
              <w:spacing w:line="240" w:lineRule="auto"/>
              <w:jc w:val="center"/>
              <w:rPr>
                <w:rFonts w:cs="Arial"/>
                <w:szCs w:val="20"/>
                <w:lang w:eastAsia="sl-SI"/>
              </w:rPr>
            </w:pPr>
            <w:r w:rsidRPr="00DA38E9">
              <w:rPr>
                <w:rFonts w:cs="Arial"/>
                <w:szCs w:val="20"/>
                <w:lang w:eastAsia="sl-SI"/>
              </w:rPr>
              <w:t>Odločitve o podpori 31.12.2024</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42BAEB" w14:textId="77777777" w:rsidR="00377F4B" w:rsidRPr="00DA38E9" w:rsidRDefault="00377F4B" w:rsidP="00F65513">
            <w:pPr>
              <w:spacing w:line="240" w:lineRule="auto"/>
              <w:jc w:val="center"/>
              <w:rPr>
                <w:rFonts w:cs="Arial"/>
                <w:szCs w:val="20"/>
                <w:lang w:eastAsia="sl-SI"/>
              </w:rPr>
            </w:pPr>
            <w:r w:rsidRPr="00DA38E9">
              <w:rPr>
                <w:rFonts w:cs="Arial"/>
                <w:szCs w:val="20"/>
                <w:lang w:eastAsia="sl-SI"/>
              </w:rPr>
              <w:t>% glede na pravice porabe</w:t>
            </w:r>
          </w:p>
        </w:tc>
        <w:tc>
          <w:tcPr>
            <w:tcW w:w="1516"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509A05E" w14:textId="77777777" w:rsidR="00377F4B" w:rsidRPr="00DA38E9" w:rsidRDefault="00377F4B" w:rsidP="00F65513">
            <w:pPr>
              <w:spacing w:line="240" w:lineRule="auto"/>
              <w:jc w:val="center"/>
              <w:rPr>
                <w:rFonts w:cs="Arial"/>
                <w:szCs w:val="20"/>
                <w:lang w:eastAsia="sl-SI"/>
              </w:rPr>
            </w:pPr>
            <w:r w:rsidRPr="00DA38E9">
              <w:rPr>
                <w:rFonts w:cs="Arial"/>
                <w:szCs w:val="20"/>
                <w:lang w:eastAsia="sl-SI"/>
              </w:rPr>
              <w:t>Potrjene operacije 31.12.2024</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D59E534" w14:textId="77777777" w:rsidR="00377F4B" w:rsidRPr="00DA38E9" w:rsidRDefault="00377F4B" w:rsidP="00F65513">
            <w:pPr>
              <w:spacing w:line="240" w:lineRule="auto"/>
              <w:jc w:val="center"/>
              <w:rPr>
                <w:rFonts w:cs="Arial"/>
                <w:szCs w:val="20"/>
                <w:lang w:eastAsia="sl-SI"/>
              </w:rPr>
            </w:pPr>
            <w:r w:rsidRPr="00DA38E9">
              <w:rPr>
                <w:rFonts w:cs="Arial"/>
                <w:szCs w:val="20"/>
                <w:lang w:eastAsia="sl-SI"/>
              </w:rPr>
              <w:t>% glede na pravice porabe</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CBAD86D" w14:textId="77777777" w:rsidR="00377F4B" w:rsidRPr="00DA38E9" w:rsidRDefault="00377F4B" w:rsidP="00F65513">
            <w:pPr>
              <w:spacing w:line="240" w:lineRule="auto"/>
              <w:jc w:val="center"/>
              <w:rPr>
                <w:rFonts w:cs="Arial"/>
                <w:szCs w:val="20"/>
                <w:lang w:eastAsia="sl-SI"/>
              </w:rPr>
            </w:pPr>
            <w:r w:rsidRPr="00DA38E9">
              <w:rPr>
                <w:rFonts w:cs="Arial"/>
                <w:szCs w:val="20"/>
                <w:lang w:eastAsia="sl-SI"/>
              </w:rPr>
              <w:t xml:space="preserve">Izplačila iz DP 31.12.2024 </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70DB3F3" w14:textId="77777777" w:rsidR="00377F4B" w:rsidRPr="00DA38E9" w:rsidRDefault="00377F4B" w:rsidP="00F65513">
            <w:pPr>
              <w:spacing w:line="240" w:lineRule="auto"/>
              <w:jc w:val="center"/>
              <w:rPr>
                <w:rFonts w:cs="Arial"/>
                <w:szCs w:val="20"/>
                <w:lang w:eastAsia="sl-SI"/>
              </w:rPr>
            </w:pPr>
            <w:r w:rsidRPr="00DA38E9">
              <w:rPr>
                <w:rFonts w:cs="Arial"/>
                <w:szCs w:val="20"/>
                <w:lang w:eastAsia="sl-SI"/>
              </w:rPr>
              <w:t>% glede na pravice porabe</w:t>
            </w:r>
          </w:p>
        </w:tc>
      </w:tr>
      <w:tr w:rsidR="00377F4B" w:rsidRPr="0049644E" w14:paraId="53C70D16" w14:textId="77777777" w:rsidTr="009E5A3A">
        <w:trPr>
          <w:trHeight w:val="364"/>
        </w:trPr>
        <w:tc>
          <w:tcPr>
            <w:tcW w:w="980" w:type="dxa"/>
            <w:vMerge/>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hideMark/>
          </w:tcPr>
          <w:p w14:paraId="50AF874B" w14:textId="77777777" w:rsidR="00377F4B" w:rsidRPr="009E5A3A" w:rsidRDefault="00377F4B" w:rsidP="00F65513">
            <w:pPr>
              <w:spacing w:line="240" w:lineRule="auto"/>
              <w:rPr>
                <w:rFonts w:cs="Arial"/>
                <w:b/>
                <w:bCs/>
                <w:szCs w:val="20"/>
                <w:lang w:eastAsia="sl-SI"/>
              </w:rPr>
            </w:pPr>
          </w:p>
        </w:tc>
        <w:tc>
          <w:tcPr>
            <w:tcW w:w="983" w:type="dxa"/>
            <w:vMerge/>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hideMark/>
          </w:tcPr>
          <w:p w14:paraId="78E6266E" w14:textId="77777777" w:rsidR="00377F4B" w:rsidRPr="009E5A3A" w:rsidRDefault="00377F4B" w:rsidP="00F65513">
            <w:pPr>
              <w:spacing w:line="240" w:lineRule="auto"/>
              <w:rPr>
                <w:rFonts w:cs="Arial"/>
                <w:b/>
                <w:bCs/>
                <w:szCs w:val="20"/>
                <w:lang w:eastAsia="sl-SI"/>
              </w:rPr>
            </w:pPr>
          </w:p>
        </w:tc>
        <w:tc>
          <w:tcPr>
            <w:tcW w:w="981" w:type="dxa"/>
            <w:vMerge/>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hideMark/>
          </w:tcPr>
          <w:p w14:paraId="305D302A" w14:textId="77777777" w:rsidR="00377F4B" w:rsidRPr="009E5A3A" w:rsidRDefault="00377F4B" w:rsidP="00F65513">
            <w:pPr>
              <w:spacing w:line="240" w:lineRule="auto"/>
              <w:rPr>
                <w:rFonts w:cs="Arial"/>
                <w:b/>
                <w:bCs/>
                <w:szCs w:val="20"/>
                <w:lang w:eastAsia="sl-SI"/>
              </w:rPr>
            </w:pPr>
          </w:p>
        </w:tc>
        <w:tc>
          <w:tcPr>
            <w:tcW w:w="1148" w:type="dxa"/>
            <w:vMerge/>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hideMark/>
          </w:tcPr>
          <w:p w14:paraId="020D8BCF" w14:textId="77777777" w:rsidR="00377F4B" w:rsidRPr="009E5A3A" w:rsidRDefault="00377F4B" w:rsidP="00F65513">
            <w:pPr>
              <w:spacing w:line="240" w:lineRule="auto"/>
              <w:rPr>
                <w:rFonts w:cs="Arial"/>
                <w:b/>
                <w:bCs/>
                <w:szCs w:val="20"/>
                <w:lang w:eastAsia="sl-SI"/>
              </w:rPr>
            </w:pPr>
          </w:p>
        </w:tc>
        <w:tc>
          <w:tcPr>
            <w:tcW w:w="1761"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CB941CA" w14:textId="77777777" w:rsidR="00377F4B" w:rsidRPr="009E5A3A" w:rsidRDefault="00377F4B" w:rsidP="00F65513">
            <w:pPr>
              <w:spacing w:line="240" w:lineRule="auto"/>
              <w:rPr>
                <w:rFonts w:cs="Arial"/>
                <w:b/>
                <w:bCs/>
                <w:szCs w:val="20"/>
                <w:lang w:eastAsia="sl-SI"/>
              </w:rPr>
            </w:pPr>
          </w:p>
        </w:tc>
        <w:tc>
          <w:tcPr>
            <w:tcW w:w="1557"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A1DC810" w14:textId="77777777" w:rsidR="00377F4B" w:rsidRPr="009E5A3A" w:rsidRDefault="00377F4B" w:rsidP="00F65513">
            <w:pPr>
              <w:spacing w:line="240" w:lineRule="auto"/>
              <w:rPr>
                <w:rFonts w:cs="Arial"/>
                <w:b/>
                <w:bCs/>
                <w:szCs w:val="20"/>
                <w:lang w:eastAsia="sl-SI"/>
              </w:rPr>
            </w:pPr>
          </w:p>
        </w:tc>
        <w:tc>
          <w:tcPr>
            <w:tcW w:w="981"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90EAF2" w14:textId="77777777" w:rsidR="00377F4B" w:rsidRPr="009E5A3A" w:rsidRDefault="00377F4B" w:rsidP="00F65513">
            <w:pPr>
              <w:spacing w:line="240" w:lineRule="auto"/>
              <w:rPr>
                <w:rFonts w:cs="Arial"/>
                <w:b/>
                <w:bCs/>
                <w:szCs w:val="20"/>
                <w:lang w:eastAsia="sl-SI"/>
              </w:rPr>
            </w:pPr>
          </w:p>
        </w:tc>
        <w:tc>
          <w:tcPr>
            <w:tcW w:w="151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9923DA7" w14:textId="77777777" w:rsidR="00377F4B" w:rsidRPr="009E5A3A" w:rsidRDefault="00377F4B" w:rsidP="00F65513">
            <w:pPr>
              <w:spacing w:line="240" w:lineRule="auto"/>
              <w:rPr>
                <w:rFonts w:cs="Arial"/>
                <w:b/>
                <w:bCs/>
                <w:szCs w:val="20"/>
                <w:lang w:eastAsia="sl-SI"/>
              </w:rPr>
            </w:pPr>
          </w:p>
        </w:tc>
        <w:tc>
          <w:tcPr>
            <w:tcW w:w="981"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A53ED56" w14:textId="77777777" w:rsidR="00377F4B" w:rsidRPr="009E5A3A" w:rsidRDefault="00377F4B" w:rsidP="00F65513">
            <w:pPr>
              <w:spacing w:line="240" w:lineRule="auto"/>
              <w:rPr>
                <w:rFonts w:cs="Arial"/>
                <w:b/>
                <w:bCs/>
                <w:szCs w:val="20"/>
                <w:lang w:eastAsia="sl-SI"/>
              </w:rPr>
            </w:pPr>
          </w:p>
        </w:tc>
        <w:tc>
          <w:tcPr>
            <w:tcW w:w="1637"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0C4C287" w14:textId="77777777" w:rsidR="00377F4B" w:rsidRPr="009E5A3A" w:rsidRDefault="00377F4B" w:rsidP="00F65513">
            <w:pPr>
              <w:spacing w:line="240" w:lineRule="auto"/>
              <w:rPr>
                <w:rFonts w:cs="Arial"/>
                <w:b/>
                <w:bCs/>
                <w:szCs w:val="20"/>
                <w:lang w:eastAsia="sl-SI"/>
              </w:rPr>
            </w:pPr>
          </w:p>
        </w:tc>
        <w:tc>
          <w:tcPr>
            <w:tcW w:w="981"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767770E" w14:textId="77777777" w:rsidR="00377F4B" w:rsidRPr="009E5A3A" w:rsidRDefault="00377F4B" w:rsidP="00F65513">
            <w:pPr>
              <w:spacing w:line="240" w:lineRule="auto"/>
              <w:rPr>
                <w:rFonts w:cs="Arial"/>
                <w:b/>
                <w:bCs/>
                <w:szCs w:val="20"/>
                <w:lang w:eastAsia="sl-SI"/>
              </w:rPr>
            </w:pPr>
          </w:p>
        </w:tc>
        <w:tc>
          <w:tcPr>
            <w:tcW w:w="152" w:type="dxa"/>
            <w:tcBorders>
              <w:top w:val="nil"/>
              <w:left w:val="nil"/>
              <w:bottom w:val="nil"/>
              <w:right w:val="nil"/>
            </w:tcBorders>
            <w:shd w:val="clear" w:color="auto" w:fill="auto"/>
            <w:noWrap/>
            <w:vAlign w:val="bottom"/>
            <w:hideMark/>
          </w:tcPr>
          <w:p w14:paraId="174F2EE7" w14:textId="77777777" w:rsidR="00377F4B" w:rsidRPr="0049644E" w:rsidRDefault="00377F4B" w:rsidP="00F65513">
            <w:pPr>
              <w:spacing w:line="240" w:lineRule="auto"/>
              <w:jc w:val="center"/>
              <w:rPr>
                <w:rFonts w:cs="Arial"/>
                <w:b/>
                <w:bCs/>
                <w:color w:val="000000"/>
                <w:szCs w:val="20"/>
                <w:lang w:eastAsia="sl-SI"/>
              </w:rPr>
            </w:pPr>
          </w:p>
        </w:tc>
      </w:tr>
      <w:tr w:rsidR="00377F4B" w:rsidRPr="0049644E" w14:paraId="6778D157" w14:textId="77777777" w:rsidTr="009E5A3A">
        <w:trPr>
          <w:trHeight w:val="216"/>
        </w:trPr>
        <w:tc>
          <w:tcPr>
            <w:tcW w:w="980" w:type="dxa"/>
            <w:vMerge/>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hideMark/>
          </w:tcPr>
          <w:p w14:paraId="164DF58A" w14:textId="77777777" w:rsidR="00377F4B" w:rsidRPr="009E5A3A" w:rsidRDefault="00377F4B" w:rsidP="00F65513">
            <w:pPr>
              <w:spacing w:line="240" w:lineRule="auto"/>
              <w:rPr>
                <w:rFonts w:cs="Arial"/>
                <w:b/>
                <w:bCs/>
                <w:szCs w:val="20"/>
                <w:lang w:eastAsia="sl-SI"/>
              </w:rPr>
            </w:pPr>
          </w:p>
        </w:tc>
        <w:tc>
          <w:tcPr>
            <w:tcW w:w="983" w:type="dxa"/>
            <w:vMerge/>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hideMark/>
          </w:tcPr>
          <w:p w14:paraId="47D15BDD" w14:textId="77777777" w:rsidR="00377F4B" w:rsidRPr="009E5A3A" w:rsidRDefault="00377F4B" w:rsidP="00F65513">
            <w:pPr>
              <w:spacing w:line="240" w:lineRule="auto"/>
              <w:rPr>
                <w:rFonts w:cs="Arial"/>
                <w:b/>
                <w:bCs/>
                <w:szCs w:val="20"/>
                <w:lang w:eastAsia="sl-SI"/>
              </w:rPr>
            </w:pPr>
          </w:p>
        </w:tc>
        <w:tc>
          <w:tcPr>
            <w:tcW w:w="981" w:type="dxa"/>
            <w:vMerge/>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hideMark/>
          </w:tcPr>
          <w:p w14:paraId="45BE17FC" w14:textId="77777777" w:rsidR="00377F4B" w:rsidRPr="009E5A3A" w:rsidRDefault="00377F4B" w:rsidP="00F65513">
            <w:pPr>
              <w:spacing w:line="240" w:lineRule="auto"/>
              <w:rPr>
                <w:rFonts w:cs="Arial"/>
                <w:b/>
                <w:bCs/>
                <w:szCs w:val="20"/>
                <w:lang w:eastAsia="sl-SI"/>
              </w:rPr>
            </w:pPr>
          </w:p>
        </w:tc>
        <w:tc>
          <w:tcPr>
            <w:tcW w:w="1148" w:type="dxa"/>
            <w:vMerge/>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hideMark/>
          </w:tcPr>
          <w:p w14:paraId="28AAEB33" w14:textId="77777777" w:rsidR="00377F4B" w:rsidRPr="009E5A3A" w:rsidRDefault="00377F4B" w:rsidP="00F65513">
            <w:pPr>
              <w:spacing w:line="240" w:lineRule="auto"/>
              <w:rPr>
                <w:rFonts w:cs="Arial"/>
                <w:b/>
                <w:bCs/>
                <w:szCs w:val="20"/>
                <w:lang w:eastAsia="sl-SI"/>
              </w:rPr>
            </w:pPr>
          </w:p>
        </w:tc>
        <w:tc>
          <w:tcPr>
            <w:tcW w:w="1761" w:type="dxa"/>
            <w:vMerge w:val="restart"/>
            <w:tcBorders>
              <w:top w:val="nil"/>
              <w:left w:val="single" w:sz="4" w:space="0" w:color="auto"/>
              <w:bottom w:val="single" w:sz="4" w:space="0" w:color="000000"/>
              <w:right w:val="single" w:sz="4" w:space="0" w:color="auto"/>
            </w:tcBorders>
            <w:shd w:val="clear" w:color="auto" w:fill="D9E2F3" w:themeFill="accent1" w:themeFillTint="33"/>
            <w:vAlign w:val="center"/>
            <w:hideMark/>
          </w:tcPr>
          <w:p w14:paraId="400DD666"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EU del (EUR)</w:t>
            </w:r>
          </w:p>
        </w:tc>
        <w:tc>
          <w:tcPr>
            <w:tcW w:w="1557" w:type="dxa"/>
            <w:vMerge w:val="restart"/>
            <w:tcBorders>
              <w:top w:val="nil"/>
              <w:left w:val="single" w:sz="4" w:space="0" w:color="auto"/>
              <w:bottom w:val="single" w:sz="4" w:space="0" w:color="000000"/>
              <w:right w:val="single" w:sz="4" w:space="0" w:color="auto"/>
            </w:tcBorders>
            <w:shd w:val="clear" w:color="auto" w:fill="D9E2F3" w:themeFill="accent1" w:themeFillTint="33"/>
            <w:vAlign w:val="center"/>
            <w:hideMark/>
          </w:tcPr>
          <w:p w14:paraId="6DE6DCD8"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EU del (EUR)</w:t>
            </w:r>
          </w:p>
        </w:tc>
        <w:tc>
          <w:tcPr>
            <w:tcW w:w="981" w:type="dxa"/>
            <w:tcBorders>
              <w:top w:val="nil"/>
              <w:left w:val="nil"/>
              <w:bottom w:val="single" w:sz="4" w:space="0" w:color="auto"/>
              <w:right w:val="single" w:sz="4" w:space="0" w:color="auto"/>
            </w:tcBorders>
            <w:shd w:val="clear" w:color="auto" w:fill="D9E2F3" w:themeFill="accent1" w:themeFillTint="33"/>
            <w:vAlign w:val="center"/>
            <w:hideMark/>
          </w:tcPr>
          <w:p w14:paraId="4CB349D9"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 EU del</w:t>
            </w:r>
          </w:p>
        </w:tc>
        <w:tc>
          <w:tcPr>
            <w:tcW w:w="1516" w:type="dxa"/>
            <w:vMerge w:val="restart"/>
            <w:tcBorders>
              <w:top w:val="nil"/>
              <w:left w:val="single" w:sz="4" w:space="0" w:color="auto"/>
              <w:bottom w:val="single" w:sz="4" w:space="0" w:color="000000"/>
              <w:right w:val="single" w:sz="4" w:space="0" w:color="auto"/>
            </w:tcBorders>
            <w:shd w:val="clear" w:color="auto" w:fill="D9E2F3" w:themeFill="accent1" w:themeFillTint="33"/>
            <w:vAlign w:val="center"/>
            <w:hideMark/>
          </w:tcPr>
          <w:p w14:paraId="1524DB95"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EU del (EUR)</w:t>
            </w:r>
          </w:p>
        </w:tc>
        <w:tc>
          <w:tcPr>
            <w:tcW w:w="981" w:type="dxa"/>
            <w:tcBorders>
              <w:top w:val="nil"/>
              <w:left w:val="nil"/>
              <w:bottom w:val="single" w:sz="4" w:space="0" w:color="auto"/>
              <w:right w:val="single" w:sz="4" w:space="0" w:color="auto"/>
            </w:tcBorders>
            <w:shd w:val="clear" w:color="auto" w:fill="D9E2F3" w:themeFill="accent1" w:themeFillTint="33"/>
            <w:vAlign w:val="center"/>
            <w:hideMark/>
          </w:tcPr>
          <w:p w14:paraId="42089D20"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 EU del</w:t>
            </w:r>
          </w:p>
        </w:tc>
        <w:tc>
          <w:tcPr>
            <w:tcW w:w="1637" w:type="dxa"/>
            <w:vMerge w:val="restart"/>
            <w:tcBorders>
              <w:top w:val="nil"/>
              <w:left w:val="single" w:sz="4" w:space="0" w:color="auto"/>
              <w:bottom w:val="single" w:sz="4" w:space="0" w:color="000000"/>
              <w:right w:val="single" w:sz="4" w:space="0" w:color="auto"/>
            </w:tcBorders>
            <w:shd w:val="clear" w:color="auto" w:fill="D9E2F3" w:themeFill="accent1" w:themeFillTint="33"/>
            <w:vAlign w:val="center"/>
            <w:hideMark/>
          </w:tcPr>
          <w:p w14:paraId="5F809EBA"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EU del (EUR)</w:t>
            </w:r>
          </w:p>
        </w:tc>
        <w:tc>
          <w:tcPr>
            <w:tcW w:w="981" w:type="dxa"/>
            <w:tcBorders>
              <w:top w:val="nil"/>
              <w:left w:val="nil"/>
              <w:bottom w:val="single" w:sz="4" w:space="0" w:color="auto"/>
              <w:right w:val="single" w:sz="4" w:space="0" w:color="auto"/>
            </w:tcBorders>
            <w:shd w:val="clear" w:color="auto" w:fill="D9E2F3" w:themeFill="accent1" w:themeFillTint="33"/>
            <w:vAlign w:val="center"/>
            <w:hideMark/>
          </w:tcPr>
          <w:p w14:paraId="6456380F"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 EU del</w:t>
            </w:r>
          </w:p>
        </w:tc>
        <w:tc>
          <w:tcPr>
            <w:tcW w:w="152" w:type="dxa"/>
            <w:vAlign w:val="center"/>
            <w:hideMark/>
          </w:tcPr>
          <w:p w14:paraId="5AB18644" w14:textId="77777777" w:rsidR="00377F4B" w:rsidRPr="0049644E" w:rsidRDefault="00377F4B" w:rsidP="00F65513">
            <w:pPr>
              <w:spacing w:line="240" w:lineRule="auto"/>
              <w:rPr>
                <w:rFonts w:cs="Arial"/>
                <w:szCs w:val="20"/>
                <w:lang w:eastAsia="sl-SI"/>
              </w:rPr>
            </w:pPr>
          </w:p>
        </w:tc>
      </w:tr>
      <w:tr w:rsidR="00377F4B" w:rsidRPr="0049644E" w14:paraId="749F0227" w14:textId="77777777" w:rsidTr="009E5A3A">
        <w:trPr>
          <w:trHeight w:val="189"/>
        </w:trPr>
        <w:tc>
          <w:tcPr>
            <w:tcW w:w="980" w:type="dxa"/>
            <w:vMerge/>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hideMark/>
          </w:tcPr>
          <w:p w14:paraId="2103F35D" w14:textId="77777777" w:rsidR="00377F4B" w:rsidRPr="009E5A3A" w:rsidRDefault="00377F4B" w:rsidP="00F65513">
            <w:pPr>
              <w:spacing w:line="240" w:lineRule="auto"/>
              <w:rPr>
                <w:rFonts w:cs="Arial"/>
                <w:b/>
                <w:bCs/>
                <w:szCs w:val="20"/>
                <w:lang w:eastAsia="sl-SI"/>
              </w:rPr>
            </w:pPr>
          </w:p>
        </w:tc>
        <w:tc>
          <w:tcPr>
            <w:tcW w:w="983" w:type="dxa"/>
            <w:vMerge/>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hideMark/>
          </w:tcPr>
          <w:p w14:paraId="2F9BFAD2" w14:textId="77777777" w:rsidR="00377F4B" w:rsidRPr="009E5A3A" w:rsidRDefault="00377F4B" w:rsidP="00F65513">
            <w:pPr>
              <w:spacing w:line="240" w:lineRule="auto"/>
              <w:rPr>
                <w:rFonts w:cs="Arial"/>
                <w:b/>
                <w:bCs/>
                <w:szCs w:val="20"/>
                <w:lang w:eastAsia="sl-SI"/>
              </w:rPr>
            </w:pPr>
          </w:p>
        </w:tc>
        <w:tc>
          <w:tcPr>
            <w:tcW w:w="981" w:type="dxa"/>
            <w:vMerge/>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hideMark/>
          </w:tcPr>
          <w:p w14:paraId="0DF2216F" w14:textId="77777777" w:rsidR="00377F4B" w:rsidRPr="009E5A3A" w:rsidRDefault="00377F4B" w:rsidP="00F65513">
            <w:pPr>
              <w:spacing w:line="240" w:lineRule="auto"/>
              <w:rPr>
                <w:rFonts w:cs="Arial"/>
                <w:b/>
                <w:bCs/>
                <w:szCs w:val="20"/>
                <w:lang w:eastAsia="sl-SI"/>
              </w:rPr>
            </w:pPr>
          </w:p>
        </w:tc>
        <w:tc>
          <w:tcPr>
            <w:tcW w:w="1148" w:type="dxa"/>
            <w:vMerge/>
            <w:tcBorders>
              <w:top w:val="single" w:sz="4" w:space="0" w:color="auto"/>
              <w:left w:val="single" w:sz="4" w:space="0" w:color="auto"/>
              <w:bottom w:val="single" w:sz="4" w:space="0" w:color="000000"/>
              <w:right w:val="single" w:sz="4" w:space="0" w:color="auto"/>
            </w:tcBorders>
            <w:shd w:val="clear" w:color="auto" w:fill="D9E2F3" w:themeFill="accent1" w:themeFillTint="33"/>
            <w:vAlign w:val="center"/>
            <w:hideMark/>
          </w:tcPr>
          <w:p w14:paraId="1CF95C51" w14:textId="77777777" w:rsidR="00377F4B" w:rsidRPr="009E5A3A" w:rsidRDefault="00377F4B" w:rsidP="00F65513">
            <w:pPr>
              <w:spacing w:line="240" w:lineRule="auto"/>
              <w:rPr>
                <w:rFonts w:cs="Arial"/>
                <w:b/>
                <w:bCs/>
                <w:szCs w:val="20"/>
                <w:lang w:eastAsia="sl-SI"/>
              </w:rPr>
            </w:pPr>
          </w:p>
        </w:tc>
        <w:tc>
          <w:tcPr>
            <w:tcW w:w="1761" w:type="dxa"/>
            <w:vMerge/>
            <w:tcBorders>
              <w:top w:val="nil"/>
              <w:left w:val="single" w:sz="4" w:space="0" w:color="auto"/>
              <w:bottom w:val="single" w:sz="4" w:space="0" w:color="000000"/>
              <w:right w:val="single" w:sz="4" w:space="0" w:color="auto"/>
            </w:tcBorders>
            <w:shd w:val="clear" w:color="auto" w:fill="D9E2F3" w:themeFill="accent1" w:themeFillTint="33"/>
            <w:vAlign w:val="center"/>
            <w:hideMark/>
          </w:tcPr>
          <w:p w14:paraId="255763B9" w14:textId="77777777" w:rsidR="00377F4B" w:rsidRPr="009E5A3A" w:rsidRDefault="00377F4B" w:rsidP="00F65513">
            <w:pPr>
              <w:spacing w:line="240" w:lineRule="auto"/>
              <w:rPr>
                <w:rFonts w:cs="Arial"/>
                <w:szCs w:val="20"/>
                <w:lang w:eastAsia="sl-SI"/>
              </w:rPr>
            </w:pPr>
          </w:p>
        </w:tc>
        <w:tc>
          <w:tcPr>
            <w:tcW w:w="1557" w:type="dxa"/>
            <w:vMerge/>
            <w:tcBorders>
              <w:top w:val="nil"/>
              <w:left w:val="single" w:sz="4" w:space="0" w:color="auto"/>
              <w:bottom w:val="single" w:sz="4" w:space="0" w:color="000000"/>
              <w:right w:val="single" w:sz="4" w:space="0" w:color="auto"/>
            </w:tcBorders>
            <w:shd w:val="clear" w:color="auto" w:fill="D9E2F3" w:themeFill="accent1" w:themeFillTint="33"/>
            <w:vAlign w:val="center"/>
            <w:hideMark/>
          </w:tcPr>
          <w:p w14:paraId="249970F2" w14:textId="77777777" w:rsidR="00377F4B" w:rsidRPr="009E5A3A" w:rsidRDefault="00377F4B" w:rsidP="00F65513">
            <w:pPr>
              <w:spacing w:line="240" w:lineRule="auto"/>
              <w:rPr>
                <w:rFonts w:cs="Arial"/>
                <w:szCs w:val="20"/>
                <w:lang w:eastAsia="sl-SI"/>
              </w:rPr>
            </w:pPr>
          </w:p>
        </w:tc>
        <w:tc>
          <w:tcPr>
            <w:tcW w:w="981" w:type="dxa"/>
            <w:tcBorders>
              <w:top w:val="nil"/>
              <w:left w:val="nil"/>
              <w:bottom w:val="single" w:sz="4" w:space="0" w:color="auto"/>
              <w:right w:val="single" w:sz="4" w:space="0" w:color="auto"/>
            </w:tcBorders>
            <w:shd w:val="clear" w:color="auto" w:fill="D9E2F3" w:themeFill="accent1" w:themeFillTint="33"/>
            <w:vAlign w:val="center"/>
            <w:hideMark/>
          </w:tcPr>
          <w:p w14:paraId="2D8ECB5B"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6/5*100</w:t>
            </w:r>
          </w:p>
        </w:tc>
        <w:tc>
          <w:tcPr>
            <w:tcW w:w="1516" w:type="dxa"/>
            <w:vMerge/>
            <w:tcBorders>
              <w:top w:val="nil"/>
              <w:left w:val="single" w:sz="4" w:space="0" w:color="auto"/>
              <w:bottom w:val="single" w:sz="4" w:space="0" w:color="000000"/>
              <w:right w:val="single" w:sz="4" w:space="0" w:color="auto"/>
            </w:tcBorders>
            <w:shd w:val="clear" w:color="auto" w:fill="D9E2F3" w:themeFill="accent1" w:themeFillTint="33"/>
            <w:vAlign w:val="center"/>
            <w:hideMark/>
          </w:tcPr>
          <w:p w14:paraId="5A1C3AEC" w14:textId="77777777" w:rsidR="00377F4B" w:rsidRPr="009E5A3A" w:rsidRDefault="00377F4B" w:rsidP="00F65513">
            <w:pPr>
              <w:spacing w:line="240" w:lineRule="auto"/>
              <w:rPr>
                <w:rFonts w:cs="Arial"/>
                <w:szCs w:val="20"/>
                <w:lang w:eastAsia="sl-SI"/>
              </w:rPr>
            </w:pPr>
          </w:p>
        </w:tc>
        <w:tc>
          <w:tcPr>
            <w:tcW w:w="981" w:type="dxa"/>
            <w:tcBorders>
              <w:top w:val="nil"/>
              <w:left w:val="nil"/>
              <w:bottom w:val="single" w:sz="4" w:space="0" w:color="auto"/>
              <w:right w:val="single" w:sz="4" w:space="0" w:color="auto"/>
            </w:tcBorders>
            <w:shd w:val="clear" w:color="auto" w:fill="D9E2F3" w:themeFill="accent1" w:themeFillTint="33"/>
            <w:vAlign w:val="center"/>
            <w:hideMark/>
          </w:tcPr>
          <w:p w14:paraId="080D59E9"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8/5*100</w:t>
            </w:r>
          </w:p>
        </w:tc>
        <w:tc>
          <w:tcPr>
            <w:tcW w:w="1637" w:type="dxa"/>
            <w:vMerge/>
            <w:tcBorders>
              <w:top w:val="nil"/>
              <w:left w:val="single" w:sz="4" w:space="0" w:color="auto"/>
              <w:bottom w:val="single" w:sz="4" w:space="0" w:color="000000"/>
              <w:right w:val="single" w:sz="4" w:space="0" w:color="auto"/>
            </w:tcBorders>
            <w:shd w:val="clear" w:color="auto" w:fill="D9E2F3" w:themeFill="accent1" w:themeFillTint="33"/>
            <w:vAlign w:val="center"/>
            <w:hideMark/>
          </w:tcPr>
          <w:p w14:paraId="033F01E3" w14:textId="77777777" w:rsidR="00377F4B" w:rsidRPr="009E5A3A" w:rsidRDefault="00377F4B" w:rsidP="00F65513">
            <w:pPr>
              <w:spacing w:line="240" w:lineRule="auto"/>
              <w:rPr>
                <w:rFonts w:cs="Arial"/>
                <w:szCs w:val="20"/>
                <w:lang w:eastAsia="sl-SI"/>
              </w:rPr>
            </w:pPr>
          </w:p>
        </w:tc>
        <w:tc>
          <w:tcPr>
            <w:tcW w:w="981" w:type="dxa"/>
            <w:tcBorders>
              <w:top w:val="nil"/>
              <w:left w:val="nil"/>
              <w:bottom w:val="single" w:sz="4" w:space="0" w:color="auto"/>
              <w:right w:val="single" w:sz="4" w:space="0" w:color="auto"/>
            </w:tcBorders>
            <w:shd w:val="clear" w:color="auto" w:fill="D9E2F3" w:themeFill="accent1" w:themeFillTint="33"/>
            <w:vAlign w:val="center"/>
            <w:hideMark/>
          </w:tcPr>
          <w:p w14:paraId="23380475"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10/5*100</w:t>
            </w:r>
          </w:p>
        </w:tc>
        <w:tc>
          <w:tcPr>
            <w:tcW w:w="152" w:type="dxa"/>
            <w:vAlign w:val="center"/>
            <w:hideMark/>
          </w:tcPr>
          <w:p w14:paraId="370FCFAD" w14:textId="77777777" w:rsidR="00377F4B" w:rsidRPr="0049644E" w:rsidRDefault="00377F4B" w:rsidP="00F65513">
            <w:pPr>
              <w:spacing w:line="240" w:lineRule="auto"/>
              <w:rPr>
                <w:rFonts w:cs="Arial"/>
                <w:szCs w:val="20"/>
                <w:lang w:eastAsia="sl-SI"/>
              </w:rPr>
            </w:pPr>
          </w:p>
        </w:tc>
      </w:tr>
      <w:tr w:rsidR="00377F4B" w:rsidRPr="0049644E" w14:paraId="1DF574C4" w14:textId="77777777" w:rsidTr="009E5A3A">
        <w:trPr>
          <w:trHeight w:val="229"/>
        </w:trPr>
        <w:tc>
          <w:tcPr>
            <w:tcW w:w="980"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13227800"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1</w:t>
            </w:r>
          </w:p>
        </w:tc>
        <w:tc>
          <w:tcPr>
            <w:tcW w:w="983" w:type="dxa"/>
            <w:tcBorders>
              <w:top w:val="nil"/>
              <w:left w:val="nil"/>
              <w:bottom w:val="single" w:sz="4" w:space="0" w:color="auto"/>
              <w:right w:val="single" w:sz="4" w:space="0" w:color="auto"/>
            </w:tcBorders>
            <w:shd w:val="clear" w:color="auto" w:fill="D9E2F3" w:themeFill="accent1" w:themeFillTint="33"/>
            <w:vAlign w:val="center"/>
            <w:hideMark/>
          </w:tcPr>
          <w:p w14:paraId="2C6245C8"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2</w:t>
            </w:r>
          </w:p>
        </w:tc>
        <w:tc>
          <w:tcPr>
            <w:tcW w:w="981" w:type="dxa"/>
            <w:tcBorders>
              <w:top w:val="nil"/>
              <w:left w:val="nil"/>
              <w:bottom w:val="single" w:sz="4" w:space="0" w:color="auto"/>
              <w:right w:val="single" w:sz="4" w:space="0" w:color="auto"/>
            </w:tcBorders>
            <w:shd w:val="clear" w:color="auto" w:fill="D9E2F3" w:themeFill="accent1" w:themeFillTint="33"/>
            <w:vAlign w:val="center"/>
            <w:hideMark/>
          </w:tcPr>
          <w:p w14:paraId="511BE2D2"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3</w:t>
            </w:r>
          </w:p>
        </w:tc>
        <w:tc>
          <w:tcPr>
            <w:tcW w:w="1148" w:type="dxa"/>
            <w:tcBorders>
              <w:top w:val="nil"/>
              <w:left w:val="nil"/>
              <w:bottom w:val="single" w:sz="4" w:space="0" w:color="auto"/>
              <w:right w:val="single" w:sz="4" w:space="0" w:color="auto"/>
            </w:tcBorders>
            <w:shd w:val="clear" w:color="auto" w:fill="D9E2F3" w:themeFill="accent1" w:themeFillTint="33"/>
            <w:vAlign w:val="center"/>
            <w:hideMark/>
          </w:tcPr>
          <w:p w14:paraId="35D971F9"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4</w:t>
            </w:r>
          </w:p>
        </w:tc>
        <w:tc>
          <w:tcPr>
            <w:tcW w:w="1761" w:type="dxa"/>
            <w:tcBorders>
              <w:top w:val="nil"/>
              <w:left w:val="nil"/>
              <w:bottom w:val="single" w:sz="4" w:space="0" w:color="auto"/>
              <w:right w:val="single" w:sz="4" w:space="0" w:color="auto"/>
            </w:tcBorders>
            <w:shd w:val="clear" w:color="auto" w:fill="D9E2F3" w:themeFill="accent1" w:themeFillTint="33"/>
            <w:vAlign w:val="center"/>
            <w:hideMark/>
          </w:tcPr>
          <w:p w14:paraId="71F63592"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5</w:t>
            </w:r>
          </w:p>
        </w:tc>
        <w:tc>
          <w:tcPr>
            <w:tcW w:w="1557" w:type="dxa"/>
            <w:tcBorders>
              <w:top w:val="nil"/>
              <w:left w:val="nil"/>
              <w:bottom w:val="single" w:sz="4" w:space="0" w:color="auto"/>
              <w:right w:val="single" w:sz="4" w:space="0" w:color="auto"/>
            </w:tcBorders>
            <w:shd w:val="clear" w:color="auto" w:fill="D9E2F3" w:themeFill="accent1" w:themeFillTint="33"/>
            <w:vAlign w:val="center"/>
            <w:hideMark/>
          </w:tcPr>
          <w:p w14:paraId="0D721342"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6</w:t>
            </w:r>
          </w:p>
        </w:tc>
        <w:tc>
          <w:tcPr>
            <w:tcW w:w="981" w:type="dxa"/>
            <w:tcBorders>
              <w:top w:val="nil"/>
              <w:left w:val="nil"/>
              <w:bottom w:val="single" w:sz="4" w:space="0" w:color="auto"/>
              <w:right w:val="single" w:sz="4" w:space="0" w:color="auto"/>
            </w:tcBorders>
            <w:shd w:val="clear" w:color="auto" w:fill="D9E2F3" w:themeFill="accent1" w:themeFillTint="33"/>
            <w:vAlign w:val="center"/>
            <w:hideMark/>
          </w:tcPr>
          <w:p w14:paraId="6C599022"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7</w:t>
            </w:r>
          </w:p>
        </w:tc>
        <w:tc>
          <w:tcPr>
            <w:tcW w:w="1516" w:type="dxa"/>
            <w:tcBorders>
              <w:top w:val="nil"/>
              <w:left w:val="nil"/>
              <w:bottom w:val="single" w:sz="4" w:space="0" w:color="auto"/>
              <w:right w:val="single" w:sz="4" w:space="0" w:color="auto"/>
            </w:tcBorders>
            <w:shd w:val="clear" w:color="auto" w:fill="D9E2F3" w:themeFill="accent1" w:themeFillTint="33"/>
            <w:vAlign w:val="center"/>
            <w:hideMark/>
          </w:tcPr>
          <w:p w14:paraId="42FB5B4B"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8</w:t>
            </w:r>
          </w:p>
        </w:tc>
        <w:tc>
          <w:tcPr>
            <w:tcW w:w="981" w:type="dxa"/>
            <w:tcBorders>
              <w:top w:val="nil"/>
              <w:left w:val="nil"/>
              <w:bottom w:val="single" w:sz="4" w:space="0" w:color="auto"/>
              <w:right w:val="single" w:sz="4" w:space="0" w:color="auto"/>
            </w:tcBorders>
            <w:shd w:val="clear" w:color="auto" w:fill="D9E2F3" w:themeFill="accent1" w:themeFillTint="33"/>
            <w:vAlign w:val="center"/>
            <w:hideMark/>
          </w:tcPr>
          <w:p w14:paraId="3FEA184C"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9</w:t>
            </w:r>
          </w:p>
        </w:tc>
        <w:tc>
          <w:tcPr>
            <w:tcW w:w="1637" w:type="dxa"/>
            <w:tcBorders>
              <w:top w:val="nil"/>
              <w:left w:val="nil"/>
              <w:bottom w:val="single" w:sz="4" w:space="0" w:color="auto"/>
              <w:right w:val="single" w:sz="4" w:space="0" w:color="auto"/>
            </w:tcBorders>
            <w:shd w:val="clear" w:color="auto" w:fill="D9E2F3" w:themeFill="accent1" w:themeFillTint="33"/>
            <w:vAlign w:val="center"/>
            <w:hideMark/>
          </w:tcPr>
          <w:p w14:paraId="12B30377"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10</w:t>
            </w:r>
          </w:p>
        </w:tc>
        <w:tc>
          <w:tcPr>
            <w:tcW w:w="981" w:type="dxa"/>
            <w:tcBorders>
              <w:top w:val="nil"/>
              <w:left w:val="nil"/>
              <w:bottom w:val="single" w:sz="4" w:space="0" w:color="auto"/>
              <w:right w:val="single" w:sz="4" w:space="0" w:color="auto"/>
            </w:tcBorders>
            <w:shd w:val="clear" w:color="auto" w:fill="D9E2F3" w:themeFill="accent1" w:themeFillTint="33"/>
            <w:vAlign w:val="center"/>
            <w:hideMark/>
          </w:tcPr>
          <w:p w14:paraId="78989643" w14:textId="77777777" w:rsidR="00377F4B" w:rsidRPr="009E5A3A" w:rsidRDefault="00377F4B" w:rsidP="00F65513">
            <w:pPr>
              <w:spacing w:line="240" w:lineRule="auto"/>
              <w:jc w:val="center"/>
              <w:rPr>
                <w:rFonts w:cs="Arial"/>
                <w:szCs w:val="20"/>
                <w:lang w:eastAsia="sl-SI"/>
              </w:rPr>
            </w:pPr>
            <w:r w:rsidRPr="009E5A3A">
              <w:rPr>
                <w:rFonts w:cs="Arial"/>
                <w:szCs w:val="20"/>
                <w:lang w:eastAsia="sl-SI"/>
              </w:rPr>
              <w:t>11</w:t>
            </w:r>
          </w:p>
        </w:tc>
        <w:tc>
          <w:tcPr>
            <w:tcW w:w="152" w:type="dxa"/>
            <w:vAlign w:val="center"/>
            <w:hideMark/>
          </w:tcPr>
          <w:p w14:paraId="10C984B9" w14:textId="77777777" w:rsidR="00377F4B" w:rsidRPr="0049644E" w:rsidRDefault="00377F4B" w:rsidP="00F65513">
            <w:pPr>
              <w:spacing w:line="240" w:lineRule="auto"/>
              <w:rPr>
                <w:rFonts w:cs="Arial"/>
                <w:szCs w:val="20"/>
                <w:lang w:eastAsia="sl-SI"/>
              </w:rPr>
            </w:pPr>
          </w:p>
        </w:tc>
      </w:tr>
      <w:tr w:rsidR="00377F4B" w:rsidRPr="0049644E" w14:paraId="2FD99ABB" w14:textId="77777777" w:rsidTr="00F65513">
        <w:trPr>
          <w:trHeight w:val="27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14:paraId="6C8D4896"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CP1</w:t>
            </w:r>
          </w:p>
        </w:tc>
        <w:tc>
          <w:tcPr>
            <w:tcW w:w="983" w:type="dxa"/>
            <w:vMerge w:val="restart"/>
            <w:tcBorders>
              <w:top w:val="nil"/>
              <w:left w:val="single" w:sz="4" w:space="0" w:color="auto"/>
              <w:bottom w:val="single" w:sz="4" w:space="0" w:color="auto"/>
              <w:right w:val="single" w:sz="4" w:space="0" w:color="auto"/>
            </w:tcBorders>
            <w:shd w:val="clear" w:color="auto" w:fill="auto"/>
            <w:noWrap/>
            <w:hideMark/>
          </w:tcPr>
          <w:p w14:paraId="032683FA"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1</w:t>
            </w:r>
          </w:p>
        </w:tc>
        <w:tc>
          <w:tcPr>
            <w:tcW w:w="981" w:type="dxa"/>
            <w:tcBorders>
              <w:top w:val="nil"/>
              <w:left w:val="nil"/>
              <w:bottom w:val="single" w:sz="4" w:space="0" w:color="auto"/>
              <w:right w:val="single" w:sz="4" w:space="0" w:color="auto"/>
            </w:tcBorders>
            <w:shd w:val="clear" w:color="auto" w:fill="auto"/>
            <w:noWrap/>
            <w:vAlign w:val="bottom"/>
            <w:hideMark/>
          </w:tcPr>
          <w:p w14:paraId="77A1CD6E"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ESRR</w:t>
            </w:r>
          </w:p>
        </w:tc>
        <w:tc>
          <w:tcPr>
            <w:tcW w:w="1148" w:type="dxa"/>
            <w:tcBorders>
              <w:top w:val="nil"/>
              <w:left w:val="nil"/>
              <w:bottom w:val="single" w:sz="4" w:space="0" w:color="auto"/>
              <w:right w:val="single" w:sz="4" w:space="0" w:color="auto"/>
            </w:tcBorders>
            <w:shd w:val="clear" w:color="auto" w:fill="auto"/>
            <w:noWrap/>
            <w:vAlign w:val="bottom"/>
            <w:hideMark/>
          </w:tcPr>
          <w:p w14:paraId="1552FD56"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Zahod</w:t>
            </w:r>
          </w:p>
        </w:tc>
        <w:tc>
          <w:tcPr>
            <w:tcW w:w="1761" w:type="dxa"/>
            <w:tcBorders>
              <w:top w:val="nil"/>
              <w:left w:val="nil"/>
              <w:bottom w:val="single" w:sz="4" w:space="0" w:color="auto"/>
              <w:right w:val="single" w:sz="4" w:space="0" w:color="auto"/>
            </w:tcBorders>
            <w:shd w:val="clear" w:color="auto" w:fill="auto"/>
            <w:noWrap/>
            <w:vAlign w:val="bottom"/>
            <w:hideMark/>
          </w:tcPr>
          <w:p w14:paraId="2BCD86EA"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237.227.744</w:t>
            </w:r>
          </w:p>
        </w:tc>
        <w:tc>
          <w:tcPr>
            <w:tcW w:w="1557" w:type="dxa"/>
            <w:tcBorders>
              <w:top w:val="nil"/>
              <w:left w:val="nil"/>
              <w:bottom w:val="single" w:sz="4" w:space="0" w:color="auto"/>
              <w:right w:val="single" w:sz="4" w:space="0" w:color="auto"/>
            </w:tcBorders>
            <w:shd w:val="clear" w:color="auto" w:fill="auto"/>
            <w:noWrap/>
            <w:vAlign w:val="bottom"/>
            <w:hideMark/>
          </w:tcPr>
          <w:p w14:paraId="06BD7B1B"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39.131.493</w:t>
            </w:r>
          </w:p>
        </w:tc>
        <w:tc>
          <w:tcPr>
            <w:tcW w:w="981" w:type="dxa"/>
            <w:tcBorders>
              <w:top w:val="nil"/>
              <w:left w:val="nil"/>
              <w:bottom w:val="single" w:sz="4" w:space="0" w:color="auto"/>
              <w:right w:val="single" w:sz="4" w:space="0" w:color="auto"/>
            </w:tcBorders>
            <w:shd w:val="clear" w:color="auto" w:fill="auto"/>
            <w:noWrap/>
            <w:vAlign w:val="bottom"/>
            <w:hideMark/>
          </w:tcPr>
          <w:p w14:paraId="2E2861D9"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16%</w:t>
            </w:r>
          </w:p>
        </w:tc>
        <w:tc>
          <w:tcPr>
            <w:tcW w:w="1516" w:type="dxa"/>
            <w:tcBorders>
              <w:top w:val="nil"/>
              <w:left w:val="nil"/>
              <w:bottom w:val="single" w:sz="4" w:space="0" w:color="auto"/>
              <w:right w:val="single" w:sz="4" w:space="0" w:color="auto"/>
            </w:tcBorders>
            <w:shd w:val="clear" w:color="auto" w:fill="auto"/>
            <w:noWrap/>
            <w:vAlign w:val="bottom"/>
            <w:hideMark/>
          </w:tcPr>
          <w:p w14:paraId="5E3E8DA8"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28.802.233</w:t>
            </w:r>
          </w:p>
        </w:tc>
        <w:tc>
          <w:tcPr>
            <w:tcW w:w="981" w:type="dxa"/>
            <w:tcBorders>
              <w:top w:val="nil"/>
              <w:left w:val="nil"/>
              <w:bottom w:val="single" w:sz="4" w:space="0" w:color="auto"/>
              <w:right w:val="single" w:sz="4" w:space="0" w:color="auto"/>
            </w:tcBorders>
            <w:shd w:val="clear" w:color="auto" w:fill="auto"/>
            <w:noWrap/>
            <w:vAlign w:val="bottom"/>
            <w:hideMark/>
          </w:tcPr>
          <w:p w14:paraId="20CD5F58"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12%</w:t>
            </w:r>
          </w:p>
        </w:tc>
        <w:tc>
          <w:tcPr>
            <w:tcW w:w="1637" w:type="dxa"/>
            <w:tcBorders>
              <w:top w:val="nil"/>
              <w:left w:val="nil"/>
              <w:bottom w:val="single" w:sz="4" w:space="0" w:color="auto"/>
              <w:right w:val="single" w:sz="4" w:space="0" w:color="auto"/>
            </w:tcBorders>
            <w:shd w:val="clear" w:color="auto" w:fill="auto"/>
            <w:noWrap/>
            <w:vAlign w:val="bottom"/>
            <w:hideMark/>
          </w:tcPr>
          <w:p w14:paraId="01CF695F"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2.877.079</w:t>
            </w:r>
          </w:p>
        </w:tc>
        <w:tc>
          <w:tcPr>
            <w:tcW w:w="981" w:type="dxa"/>
            <w:tcBorders>
              <w:top w:val="nil"/>
              <w:left w:val="nil"/>
              <w:bottom w:val="single" w:sz="4" w:space="0" w:color="auto"/>
              <w:right w:val="single" w:sz="4" w:space="0" w:color="auto"/>
            </w:tcBorders>
            <w:shd w:val="clear" w:color="auto" w:fill="auto"/>
            <w:noWrap/>
            <w:vAlign w:val="bottom"/>
            <w:hideMark/>
          </w:tcPr>
          <w:p w14:paraId="0D0A100C"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w:t>
            </w:r>
          </w:p>
        </w:tc>
        <w:tc>
          <w:tcPr>
            <w:tcW w:w="152" w:type="dxa"/>
            <w:vAlign w:val="center"/>
            <w:hideMark/>
          </w:tcPr>
          <w:p w14:paraId="5616481E" w14:textId="77777777" w:rsidR="00377F4B" w:rsidRPr="0049644E" w:rsidRDefault="00377F4B" w:rsidP="00F65513">
            <w:pPr>
              <w:spacing w:line="240" w:lineRule="auto"/>
              <w:rPr>
                <w:rFonts w:cs="Arial"/>
                <w:szCs w:val="20"/>
                <w:lang w:eastAsia="sl-SI"/>
              </w:rPr>
            </w:pPr>
          </w:p>
        </w:tc>
      </w:tr>
      <w:tr w:rsidR="00377F4B" w:rsidRPr="0049644E" w14:paraId="4A815F39" w14:textId="77777777" w:rsidTr="00F65513">
        <w:trPr>
          <w:trHeight w:val="270"/>
        </w:trPr>
        <w:tc>
          <w:tcPr>
            <w:tcW w:w="980" w:type="dxa"/>
            <w:vMerge/>
            <w:tcBorders>
              <w:top w:val="nil"/>
              <w:left w:val="single" w:sz="4" w:space="0" w:color="auto"/>
              <w:bottom w:val="single" w:sz="4" w:space="0" w:color="auto"/>
              <w:right w:val="single" w:sz="4" w:space="0" w:color="auto"/>
            </w:tcBorders>
            <w:vAlign w:val="center"/>
            <w:hideMark/>
          </w:tcPr>
          <w:p w14:paraId="4A11BB72" w14:textId="77777777" w:rsidR="00377F4B" w:rsidRPr="0049644E" w:rsidRDefault="00377F4B" w:rsidP="00F65513">
            <w:pPr>
              <w:spacing w:line="240" w:lineRule="auto"/>
              <w:rPr>
                <w:rFonts w:cs="Arial"/>
                <w:color w:val="000000"/>
                <w:szCs w:val="20"/>
                <w:lang w:eastAsia="sl-SI"/>
              </w:rPr>
            </w:pPr>
          </w:p>
        </w:tc>
        <w:tc>
          <w:tcPr>
            <w:tcW w:w="983" w:type="dxa"/>
            <w:vMerge/>
            <w:tcBorders>
              <w:top w:val="nil"/>
              <w:left w:val="single" w:sz="4" w:space="0" w:color="auto"/>
              <w:bottom w:val="single" w:sz="4" w:space="0" w:color="auto"/>
              <w:right w:val="single" w:sz="4" w:space="0" w:color="auto"/>
            </w:tcBorders>
            <w:vAlign w:val="center"/>
            <w:hideMark/>
          </w:tcPr>
          <w:p w14:paraId="2550D125" w14:textId="77777777" w:rsidR="00377F4B" w:rsidRPr="0049644E" w:rsidRDefault="00377F4B" w:rsidP="00F65513">
            <w:pPr>
              <w:spacing w:line="240" w:lineRule="auto"/>
              <w:rPr>
                <w:rFonts w:cs="Arial"/>
                <w:color w:val="000000"/>
                <w:szCs w:val="20"/>
                <w:lang w:eastAsia="sl-SI"/>
              </w:rPr>
            </w:pPr>
          </w:p>
        </w:tc>
        <w:tc>
          <w:tcPr>
            <w:tcW w:w="981" w:type="dxa"/>
            <w:tcBorders>
              <w:top w:val="nil"/>
              <w:left w:val="nil"/>
              <w:bottom w:val="single" w:sz="4" w:space="0" w:color="auto"/>
              <w:right w:val="single" w:sz="4" w:space="0" w:color="auto"/>
            </w:tcBorders>
            <w:shd w:val="clear" w:color="auto" w:fill="auto"/>
            <w:noWrap/>
            <w:vAlign w:val="bottom"/>
            <w:hideMark/>
          </w:tcPr>
          <w:p w14:paraId="28742BEB"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ESRR</w:t>
            </w:r>
          </w:p>
        </w:tc>
        <w:tc>
          <w:tcPr>
            <w:tcW w:w="1148" w:type="dxa"/>
            <w:tcBorders>
              <w:top w:val="nil"/>
              <w:left w:val="nil"/>
              <w:bottom w:val="single" w:sz="4" w:space="0" w:color="auto"/>
              <w:right w:val="single" w:sz="4" w:space="0" w:color="auto"/>
            </w:tcBorders>
            <w:shd w:val="clear" w:color="auto" w:fill="auto"/>
            <w:noWrap/>
            <w:vAlign w:val="bottom"/>
            <w:hideMark/>
          </w:tcPr>
          <w:p w14:paraId="0BC5A80C"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Vzhod</w:t>
            </w:r>
          </w:p>
        </w:tc>
        <w:tc>
          <w:tcPr>
            <w:tcW w:w="1761" w:type="dxa"/>
            <w:tcBorders>
              <w:top w:val="nil"/>
              <w:left w:val="nil"/>
              <w:bottom w:val="single" w:sz="4" w:space="0" w:color="auto"/>
              <w:right w:val="single" w:sz="4" w:space="0" w:color="auto"/>
            </w:tcBorders>
            <w:shd w:val="clear" w:color="auto" w:fill="auto"/>
            <w:noWrap/>
            <w:vAlign w:val="bottom"/>
            <w:hideMark/>
          </w:tcPr>
          <w:p w14:paraId="38CC8763"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470.283.325</w:t>
            </w:r>
          </w:p>
        </w:tc>
        <w:tc>
          <w:tcPr>
            <w:tcW w:w="1557" w:type="dxa"/>
            <w:tcBorders>
              <w:top w:val="nil"/>
              <w:left w:val="nil"/>
              <w:bottom w:val="single" w:sz="4" w:space="0" w:color="auto"/>
              <w:right w:val="single" w:sz="4" w:space="0" w:color="auto"/>
            </w:tcBorders>
            <w:shd w:val="clear" w:color="auto" w:fill="auto"/>
            <w:noWrap/>
            <w:vAlign w:val="bottom"/>
            <w:hideMark/>
          </w:tcPr>
          <w:p w14:paraId="1972AF31"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76.129.459</w:t>
            </w:r>
          </w:p>
        </w:tc>
        <w:tc>
          <w:tcPr>
            <w:tcW w:w="981" w:type="dxa"/>
            <w:tcBorders>
              <w:top w:val="nil"/>
              <w:left w:val="nil"/>
              <w:bottom w:val="single" w:sz="4" w:space="0" w:color="auto"/>
              <w:right w:val="single" w:sz="4" w:space="0" w:color="auto"/>
            </w:tcBorders>
            <w:shd w:val="clear" w:color="auto" w:fill="auto"/>
            <w:noWrap/>
            <w:vAlign w:val="bottom"/>
            <w:hideMark/>
          </w:tcPr>
          <w:p w14:paraId="5FB7B68D"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16%</w:t>
            </w:r>
          </w:p>
        </w:tc>
        <w:tc>
          <w:tcPr>
            <w:tcW w:w="1516" w:type="dxa"/>
            <w:tcBorders>
              <w:top w:val="nil"/>
              <w:left w:val="nil"/>
              <w:bottom w:val="single" w:sz="4" w:space="0" w:color="auto"/>
              <w:right w:val="single" w:sz="4" w:space="0" w:color="auto"/>
            </w:tcBorders>
            <w:shd w:val="clear" w:color="auto" w:fill="auto"/>
            <w:noWrap/>
            <w:vAlign w:val="bottom"/>
            <w:hideMark/>
          </w:tcPr>
          <w:p w14:paraId="25E33191"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56.243.593</w:t>
            </w:r>
          </w:p>
        </w:tc>
        <w:tc>
          <w:tcPr>
            <w:tcW w:w="981" w:type="dxa"/>
            <w:tcBorders>
              <w:top w:val="nil"/>
              <w:left w:val="nil"/>
              <w:bottom w:val="single" w:sz="4" w:space="0" w:color="auto"/>
              <w:right w:val="single" w:sz="4" w:space="0" w:color="auto"/>
            </w:tcBorders>
            <w:shd w:val="clear" w:color="auto" w:fill="auto"/>
            <w:noWrap/>
            <w:vAlign w:val="bottom"/>
            <w:hideMark/>
          </w:tcPr>
          <w:p w14:paraId="17F14233"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12%</w:t>
            </w:r>
          </w:p>
        </w:tc>
        <w:tc>
          <w:tcPr>
            <w:tcW w:w="1637" w:type="dxa"/>
            <w:tcBorders>
              <w:top w:val="nil"/>
              <w:left w:val="nil"/>
              <w:bottom w:val="single" w:sz="4" w:space="0" w:color="auto"/>
              <w:right w:val="single" w:sz="4" w:space="0" w:color="auto"/>
            </w:tcBorders>
            <w:shd w:val="clear" w:color="auto" w:fill="auto"/>
            <w:noWrap/>
            <w:vAlign w:val="bottom"/>
            <w:hideMark/>
          </w:tcPr>
          <w:p w14:paraId="1D854CB0"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6.655.048</w:t>
            </w:r>
          </w:p>
        </w:tc>
        <w:tc>
          <w:tcPr>
            <w:tcW w:w="981" w:type="dxa"/>
            <w:tcBorders>
              <w:top w:val="nil"/>
              <w:left w:val="nil"/>
              <w:bottom w:val="single" w:sz="4" w:space="0" w:color="auto"/>
              <w:right w:val="single" w:sz="4" w:space="0" w:color="auto"/>
            </w:tcBorders>
            <w:shd w:val="clear" w:color="auto" w:fill="auto"/>
            <w:noWrap/>
            <w:vAlign w:val="bottom"/>
            <w:hideMark/>
          </w:tcPr>
          <w:p w14:paraId="1DDBAB38"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w:t>
            </w:r>
          </w:p>
        </w:tc>
        <w:tc>
          <w:tcPr>
            <w:tcW w:w="152" w:type="dxa"/>
            <w:vAlign w:val="center"/>
            <w:hideMark/>
          </w:tcPr>
          <w:p w14:paraId="0F444E6D" w14:textId="77777777" w:rsidR="00377F4B" w:rsidRPr="0049644E" w:rsidRDefault="00377F4B" w:rsidP="00F65513">
            <w:pPr>
              <w:spacing w:line="240" w:lineRule="auto"/>
              <w:rPr>
                <w:rFonts w:cs="Arial"/>
                <w:szCs w:val="20"/>
                <w:lang w:eastAsia="sl-SI"/>
              </w:rPr>
            </w:pPr>
          </w:p>
        </w:tc>
      </w:tr>
      <w:tr w:rsidR="00377F4B" w:rsidRPr="0049644E" w14:paraId="2D55E283" w14:textId="77777777" w:rsidTr="00F65513">
        <w:trPr>
          <w:trHeight w:val="270"/>
        </w:trPr>
        <w:tc>
          <w:tcPr>
            <w:tcW w:w="980" w:type="dxa"/>
            <w:vMerge/>
            <w:tcBorders>
              <w:top w:val="nil"/>
              <w:left w:val="single" w:sz="4" w:space="0" w:color="auto"/>
              <w:bottom w:val="single" w:sz="4" w:space="0" w:color="auto"/>
              <w:right w:val="single" w:sz="4" w:space="0" w:color="auto"/>
            </w:tcBorders>
            <w:vAlign w:val="center"/>
            <w:hideMark/>
          </w:tcPr>
          <w:p w14:paraId="602EED50" w14:textId="77777777" w:rsidR="00377F4B" w:rsidRPr="0049644E" w:rsidRDefault="00377F4B" w:rsidP="00F65513">
            <w:pPr>
              <w:spacing w:line="240" w:lineRule="auto"/>
              <w:rPr>
                <w:rFonts w:cs="Arial"/>
                <w:color w:val="000000"/>
                <w:szCs w:val="20"/>
                <w:lang w:eastAsia="sl-SI"/>
              </w:rPr>
            </w:pPr>
          </w:p>
        </w:tc>
        <w:tc>
          <w:tcPr>
            <w:tcW w:w="983" w:type="dxa"/>
            <w:vMerge w:val="restart"/>
            <w:tcBorders>
              <w:top w:val="nil"/>
              <w:left w:val="single" w:sz="4" w:space="0" w:color="auto"/>
              <w:bottom w:val="single" w:sz="4" w:space="0" w:color="auto"/>
              <w:right w:val="single" w:sz="4" w:space="0" w:color="auto"/>
            </w:tcBorders>
            <w:shd w:val="clear" w:color="auto" w:fill="auto"/>
            <w:noWrap/>
            <w:hideMark/>
          </w:tcPr>
          <w:p w14:paraId="03530D94"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2</w:t>
            </w:r>
          </w:p>
        </w:tc>
        <w:tc>
          <w:tcPr>
            <w:tcW w:w="981" w:type="dxa"/>
            <w:tcBorders>
              <w:top w:val="nil"/>
              <w:left w:val="nil"/>
              <w:bottom w:val="single" w:sz="4" w:space="0" w:color="auto"/>
              <w:right w:val="single" w:sz="4" w:space="0" w:color="auto"/>
            </w:tcBorders>
            <w:shd w:val="clear" w:color="auto" w:fill="auto"/>
            <w:noWrap/>
            <w:vAlign w:val="bottom"/>
            <w:hideMark/>
          </w:tcPr>
          <w:p w14:paraId="243C8F61"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ESRR</w:t>
            </w:r>
          </w:p>
        </w:tc>
        <w:tc>
          <w:tcPr>
            <w:tcW w:w="1148" w:type="dxa"/>
            <w:tcBorders>
              <w:top w:val="nil"/>
              <w:left w:val="nil"/>
              <w:bottom w:val="single" w:sz="4" w:space="0" w:color="auto"/>
              <w:right w:val="single" w:sz="4" w:space="0" w:color="auto"/>
            </w:tcBorders>
            <w:shd w:val="clear" w:color="auto" w:fill="auto"/>
            <w:noWrap/>
            <w:vAlign w:val="bottom"/>
            <w:hideMark/>
          </w:tcPr>
          <w:p w14:paraId="425540F3"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Zahod</w:t>
            </w:r>
          </w:p>
        </w:tc>
        <w:tc>
          <w:tcPr>
            <w:tcW w:w="1761" w:type="dxa"/>
            <w:tcBorders>
              <w:top w:val="nil"/>
              <w:left w:val="nil"/>
              <w:bottom w:val="single" w:sz="4" w:space="0" w:color="auto"/>
              <w:right w:val="single" w:sz="4" w:space="0" w:color="auto"/>
            </w:tcBorders>
            <w:shd w:val="clear" w:color="auto" w:fill="auto"/>
            <w:noWrap/>
            <w:vAlign w:val="bottom"/>
            <w:hideMark/>
          </w:tcPr>
          <w:p w14:paraId="5BA98A69"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4.078.744</w:t>
            </w:r>
          </w:p>
        </w:tc>
        <w:tc>
          <w:tcPr>
            <w:tcW w:w="1557" w:type="dxa"/>
            <w:tcBorders>
              <w:top w:val="nil"/>
              <w:left w:val="nil"/>
              <w:bottom w:val="single" w:sz="4" w:space="0" w:color="auto"/>
              <w:right w:val="single" w:sz="4" w:space="0" w:color="auto"/>
            </w:tcBorders>
            <w:shd w:val="clear" w:color="auto" w:fill="auto"/>
            <w:noWrap/>
            <w:vAlign w:val="bottom"/>
            <w:hideMark/>
          </w:tcPr>
          <w:p w14:paraId="122FB9B6"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4BF42D3E"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516" w:type="dxa"/>
            <w:tcBorders>
              <w:top w:val="nil"/>
              <w:left w:val="nil"/>
              <w:bottom w:val="single" w:sz="4" w:space="0" w:color="auto"/>
              <w:right w:val="single" w:sz="4" w:space="0" w:color="auto"/>
            </w:tcBorders>
            <w:shd w:val="clear" w:color="auto" w:fill="auto"/>
            <w:noWrap/>
            <w:vAlign w:val="bottom"/>
            <w:hideMark/>
          </w:tcPr>
          <w:p w14:paraId="71789137"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3967E830"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637" w:type="dxa"/>
            <w:tcBorders>
              <w:top w:val="nil"/>
              <w:left w:val="nil"/>
              <w:bottom w:val="single" w:sz="4" w:space="0" w:color="auto"/>
              <w:right w:val="single" w:sz="4" w:space="0" w:color="auto"/>
            </w:tcBorders>
            <w:shd w:val="clear" w:color="auto" w:fill="auto"/>
            <w:noWrap/>
            <w:vAlign w:val="bottom"/>
            <w:hideMark/>
          </w:tcPr>
          <w:p w14:paraId="624340FE"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49213C05"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52" w:type="dxa"/>
            <w:vAlign w:val="center"/>
            <w:hideMark/>
          </w:tcPr>
          <w:p w14:paraId="1B086D4D" w14:textId="77777777" w:rsidR="00377F4B" w:rsidRPr="0049644E" w:rsidRDefault="00377F4B" w:rsidP="00F65513">
            <w:pPr>
              <w:spacing w:line="240" w:lineRule="auto"/>
              <w:rPr>
                <w:rFonts w:cs="Arial"/>
                <w:szCs w:val="20"/>
                <w:lang w:eastAsia="sl-SI"/>
              </w:rPr>
            </w:pPr>
          </w:p>
        </w:tc>
      </w:tr>
      <w:tr w:rsidR="00377F4B" w:rsidRPr="0049644E" w14:paraId="133399B3" w14:textId="77777777" w:rsidTr="00F65513">
        <w:trPr>
          <w:trHeight w:val="270"/>
        </w:trPr>
        <w:tc>
          <w:tcPr>
            <w:tcW w:w="980" w:type="dxa"/>
            <w:vMerge/>
            <w:tcBorders>
              <w:top w:val="nil"/>
              <w:left w:val="single" w:sz="4" w:space="0" w:color="auto"/>
              <w:bottom w:val="single" w:sz="4" w:space="0" w:color="auto"/>
              <w:right w:val="single" w:sz="4" w:space="0" w:color="auto"/>
            </w:tcBorders>
            <w:vAlign w:val="center"/>
            <w:hideMark/>
          </w:tcPr>
          <w:p w14:paraId="52DF96A0" w14:textId="77777777" w:rsidR="00377F4B" w:rsidRPr="0049644E" w:rsidRDefault="00377F4B" w:rsidP="00F65513">
            <w:pPr>
              <w:spacing w:line="240" w:lineRule="auto"/>
              <w:rPr>
                <w:rFonts w:cs="Arial"/>
                <w:color w:val="000000"/>
                <w:szCs w:val="20"/>
                <w:lang w:eastAsia="sl-SI"/>
              </w:rPr>
            </w:pPr>
          </w:p>
        </w:tc>
        <w:tc>
          <w:tcPr>
            <w:tcW w:w="983" w:type="dxa"/>
            <w:vMerge/>
            <w:tcBorders>
              <w:top w:val="nil"/>
              <w:left w:val="single" w:sz="4" w:space="0" w:color="auto"/>
              <w:bottom w:val="single" w:sz="4" w:space="0" w:color="auto"/>
              <w:right w:val="single" w:sz="4" w:space="0" w:color="auto"/>
            </w:tcBorders>
            <w:vAlign w:val="center"/>
            <w:hideMark/>
          </w:tcPr>
          <w:p w14:paraId="66A26C90" w14:textId="77777777" w:rsidR="00377F4B" w:rsidRPr="0049644E" w:rsidRDefault="00377F4B" w:rsidP="00F65513">
            <w:pPr>
              <w:spacing w:line="240" w:lineRule="auto"/>
              <w:rPr>
                <w:rFonts w:cs="Arial"/>
                <w:color w:val="000000"/>
                <w:szCs w:val="20"/>
                <w:lang w:eastAsia="sl-SI"/>
              </w:rPr>
            </w:pPr>
          </w:p>
        </w:tc>
        <w:tc>
          <w:tcPr>
            <w:tcW w:w="981" w:type="dxa"/>
            <w:tcBorders>
              <w:top w:val="nil"/>
              <w:left w:val="nil"/>
              <w:bottom w:val="single" w:sz="4" w:space="0" w:color="auto"/>
              <w:right w:val="single" w:sz="4" w:space="0" w:color="auto"/>
            </w:tcBorders>
            <w:shd w:val="clear" w:color="auto" w:fill="auto"/>
            <w:noWrap/>
            <w:vAlign w:val="bottom"/>
            <w:hideMark/>
          </w:tcPr>
          <w:p w14:paraId="002BB47F"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ESRR</w:t>
            </w:r>
          </w:p>
        </w:tc>
        <w:tc>
          <w:tcPr>
            <w:tcW w:w="1148" w:type="dxa"/>
            <w:tcBorders>
              <w:top w:val="nil"/>
              <w:left w:val="nil"/>
              <w:bottom w:val="single" w:sz="4" w:space="0" w:color="auto"/>
              <w:right w:val="single" w:sz="4" w:space="0" w:color="auto"/>
            </w:tcBorders>
            <w:shd w:val="clear" w:color="auto" w:fill="auto"/>
            <w:noWrap/>
            <w:vAlign w:val="bottom"/>
            <w:hideMark/>
          </w:tcPr>
          <w:p w14:paraId="27B819FF"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Vzhod</w:t>
            </w:r>
          </w:p>
        </w:tc>
        <w:tc>
          <w:tcPr>
            <w:tcW w:w="1761" w:type="dxa"/>
            <w:tcBorders>
              <w:top w:val="nil"/>
              <w:left w:val="nil"/>
              <w:bottom w:val="single" w:sz="4" w:space="0" w:color="auto"/>
              <w:right w:val="single" w:sz="4" w:space="0" w:color="auto"/>
            </w:tcBorders>
            <w:shd w:val="clear" w:color="auto" w:fill="auto"/>
            <w:noWrap/>
            <w:vAlign w:val="bottom"/>
            <w:hideMark/>
          </w:tcPr>
          <w:p w14:paraId="5CCA0568"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15.584.000</w:t>
            </w:r>
          </w:p>
        </w:tc>
        <w:tc>
          <w:tcPr>
            <w:tcW w:w="1557" w:type="dxa"/>
            <w:tcBorders>
              <w:top w:val="nil"/>
              <w:left w:val="nil"/>
              <w:bottom w:val="single" w:sz="4" w:space="0" w:color="auto"/>
              <w:right w:val="single" w:sz="4" w:space="0" w:color="auto"/>
            </w:tcBorders>
            <w:shd w:val="clear" w:color="auto" w:fill="auto"/>
            <w:noWrap/>
            <w:vAlign w:val="bottom"/>
            <w:hideMark/>
          </w:tcPr>
          <w:p w14:paraId="4D3E50BB"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6AABE9A0"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516" w:type="dxa"/>
            <w:tcBorders>
              <w:top w:val="nil"/>
              <w:left w:val="nil"/>
              <w:bottom w:val="single" w:sz="4" w:space="0" w:color="auto"/>
              <w:right w:val="single" w:sz="4" w:space="0" w:color="auto"/>
            </w:tcBorders>
            <w:shd w:val="clear" w:color="auto" w:fill="auto"/>
            <w:noWrap/>
            <w:vAlign w:val="bottom"/>
            <w:hideMark/>
          </w:tcPr>
          <w:p w14:paraId="602E9B34"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7705124C"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637" w:type="dxa"/>
            <w:tcBorders>
              <w:top w:val="nil"/>
              <w:left w:val="nil"/>
              <w:bottom w:val="single" w:sz="4" w:space="0" w:color="auto"/>
              <w:right w:val="single" w:sz="4" w:space="0" w:color="auto"/>
            </w:tcBorders>
            <w:shd w:val="clear" w:color="auto" w:fill="auto"/>
            <w:noWrap/>
            <w:vAlign w:val="bottom"/>
            <w:hideMark/>
          </w:tcPr>
          <w:p w14:paraId="189BE9D8"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3066BD3D"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52" w:type="dxa"/>
            <w:vAlign w:val="center"/>
            <w:hideMark/>
          </w:tcPr>
          <w:p w14:paraId="7076A8B8" w14:textId="77777777" w:rsidR="00377F4B" w:rsidRPr="0049644E" w:rsidRDefault="00377F4B" w:rsidP="00F65513">
            <w:pPr>
              <w:spacing w:line="240" w:lineRule="auto"/>
              <w:rPr>
                <w:rFonts w:cs="Arial"/>
                <w:szCs w:val="20"/>
                <w:lang w:eastAsia="sl-SI"/>
              </w:rPr>
            </w:pPr>
          </w:p>
        </w:tc>
      </w:tr>
      <w:tr w:rsidR="00377F4B" w:rsidRPr="0049644E" w14:paraId="64821740" w14:textId="77777777" w:rsidTr="00F65513">
        <w:trPr>
          <w:trHeight w:val="27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14:paraId="3D9C2F6F"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CP2</w:t>
            </w:r>
          </w:p>
        </w:tc>
        <w:tc>
          <w:tcPr>
            <w:tcW w:w="983" w:type="dxa"/>
            <w:vMerge w:val="restart"/>
            <w:tcBorders>
              <w:top w:val="nil"/>
              <w:left w:val="single" w:sz="4" w:space="0" w:color="auto"/>
              <w:bottom w:val="single" w:sz="4" w:space="0" w:color="auto"/>
              <w:right w:val="single" w:sz="4" w:space="0" w:color="auto"/>
            </w:tcBorders>
            <w:shd w:val="clear" w:color="auto" w:fill="auto"/>
            <w:noWrap/>
            <w:hideMark/>
          </w:tcPr>
          <w:p w14:paraId="2BD49323"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3</w:t>
            </w:r>
          </w:p>
        </w:tc>
        <w:tc>
          <w:tcPr>
            <w:tcW w:w="981" w:type="dxa"/>
            <w:tcBorders>
              <w:top w:val="nil"/>
              <w:left w:val="nil"/>
              <w:bottom w:val="single" w:sz="4" w:space="0" w:color="auto"/>
              <w:right w:val="single" w:sz="4" w:space="0" w:color="auto"/>
            </w:tcBorders>
            <w:shd w:val="clear" w:color="auto" w:fill="auto"/>
            <w:noWrap/>
            <w:vAlign w:val="bottom"/>
            <w:hideMark/>
          </w:tcPr>
          <w:p w14:paraId="151D6914"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ESRR</w:t>
            </w:r>
          </w:p>
        </w:tc>
        <w:tc>
          <w:tcPr>
            <w:tcW w:w="1148" w:type="dxa"/>
            <w:tcBorders>
              <w:top w:val="nil"/>
              <w:left w:val="nil"/>
              <w:bottom w:val="single" w:sz="4" w:space="0" w:color="auto"/>
              <w:right w:val="single" w:sz="4" w:space="0" w:color="auto"/>
            </w:tcBorders>
            <w:shd w:val="clear" w:color="auto" w:fill="auto"/>
            <w:noWrap/>
            <w:vAlign w:val="bottom"/>
            <w:hideMark/>
          </w:tcPr>
          <w:p w14:paraId="2454E30F"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Zahod</w:t>
            </w:r>
          </w:p>
        </w:tc>
        <w:tc>
          <w:tcPr>
            <w:tcW w:w="1761" w:type="dxa"/>
            <w:tcBorders>
              <w:top w:val="nil"/>
              <w:left w:val="nil"/>
              <w:bottom w:val="single" w:sz="4" w:space="0" w:color="auto"/>
              <w:right w:val="single" w:sz="4" w:space="0" w:color="auto"/>
            </w:tcBorders>
            <w:shd w:val="clear" w:color="auto" w:fill="auto"/>
            <w:noWrap/>
            <w:vAlign w:val="bottom"/>
            <w:hideMark/>
          </w:tcPr>
          <w:p w14:paraId="6797722A"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95.069.613</w:t>
            </w:r>
          </w:p>
        </w:tc>
        <w:tc>
          <w:tcPr>
            <w:tcW w:w="1557" w:type="dxa"/>
            <w:tcBorders>
              <w:top w:val="nil"/>
              <w:left w:val="nil"/>
              <w:bottom w:val="single" w:sz="4" w:space="0" w:color="auto"/>
              <w:right w:val="single" w:sz="4" w:space="0" w:color="auto"/>
            </w:tcBorders>
            <w:shd w:val="clear" w:color="auto" w:fill="auto"/>
            <w:noWrap/>
            <w:vAlign w:val="bottom"/>
            <w:hideMark/>
          </w:tcPr>
          <w:p w14:paraId="3803AC8B"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1.965.180</w:t>
            </w:r>
          </w:p>
        </w:tc>
        <w:tc>
          <w:tcPr>
            <w:tcW w:w="981" w:type="dxa"/>
            <w:tcBorders>
              <w:top w:val="nil"/>
              <w:left w:val="nil"/>
              <w:bottom w:val="single" w:sz="4" w:space="0" w:color="auto"/>
              <w:right w:val="single" w:sz="4" w:space="0" w:color="auto"/>
            </w:tcBorders>
            <w:shd w:val="clear" w:color="auto" w:fill="auto"/>
            <w:noWrap/>
            <w:vAlign w:val="bottom"/>
            <w:hideMark/>
          </w:tcPr>
          <w:p w14:paraId="7FFF30ED"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2%</w:t>
            </w:r>
          </w:p>
        </w:tc>
        <w:tc>
          <w:tcPr>
            <w:tcW w:w="1516" w:type="dxa"/>
            <w:tcBorders>
              <w:top w:val="nil"/>
              <w:left w:val="nil"/>
              <w:bottom w:val="single" w:sz="4" w:space="0" w:color="auto"/>
              <w:right w:val="single" w:sz="4" w:space="0" w:color="auto"/>
            </w:tcBorders>
            <w:shd w:val="clear" w:color="auto" w:fill="auto"/>
            <w:noWrap/>
            <w:vAlign w:val="bottom"/>
            <w:hideMark/>
          </w:tcPr>
          <w:p w14:paraId="7C04EB88"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398.500</w:t>
            </w:r>
          </w:p>
        </w:tc>
        <w:tc>
          <w:tcPr>
            <w:tcW w:w="981" w:type="dxa"/>
            <w:tcBorders>
              <w:top w:val="nil"/>
              <w:left w:val="nil"/>
              <w:bottom w:val="single" w:sz="4" w:space="0" w:color="auto"/>
              <w:right w:val="single" w:sz="4" w:space="0" w:color="auto"/>
            </w:tcBorders>
            <w:shd w:val="clear" w:color="auto" w:fill="auto"/>
            <w:noWrap/>
            <w:vAlign w:val="bottom"/>
            <w:hideMark/>
          </w:tcPr>
          <w:p w14:paraId="63CCAEEC"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637" w:type="dxa"/>
            <w:tcBorders>
              <w:top w:val="nil"/>
              <w:left w:val="nil"/>
              <w:bottom w:val="single" w:sz="4" w:space="0" w:color="auto"/>
              <w:right w:val="single" w:sz="4" w:space="0" w:color="auto"/>
            </w:tcBorders>
            <w:shd w:val="clear" w:color="auto" w:fill="auto"/>
            <w:noWrap/>
            <w:vAlign w:val="bottom"/>
            <w:hideMark/>
          </w:tcPr>
          <w:p w14:paraId="3E5F90F1"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6.272</w:t>
            </w:r>
          </w:p>
        </w:tc>
        <w:tc>
          <w:tcPr>
            <w:tcW w:w="981" w:type="dxa"/>
            <w:tcBorders>
              <w:top w:val="nil"/>
              <w:left w:val="nil"/>
              <w:bottom w:val="single" w:sz="4" w:space="0" w:color="auto"/>
              <w:right w:val="single" w:sz="4" w:space="0" w:color="auto"/>
            </w:tcBorders>
            <w:shd w:val="clear" w:color="auto" w:fill="auto"/>
            <w:noWrap/>
            <w:vAlign w:val="bottom"/>
            <w:hideMark/>
          </w:tcPr>
          <w:p w14:paraId="73483508"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52" w:type="dxa"/>
            <w:vAlign w:val="center"/>
            <w:hideMark/>
          </w:tcPr>
          <w:p w14:paraId="342758B0" w14:textId="77777777" w:rsidR="00377F4B" w:rsidRPr="0049644E" w:rsidRDefault="00377F4B" w:rsidP="00F65513">
            <w:pPr>
              <w:spacing w:line="240" w:lineRule="auto"/>
              <w:rPr>
                <w:rFonts w:cs="Arial"/>
                <w:szCs w:val="20"/>
                <w:lang w:eastAsia="sl-SI"/>
              </w:rPr>
            </w:pPr>
          </w:p>
        </w:tc>
      </w:tr>
      <w:tr w:rsidR="00377F4B" w:rsidRPr="0049644E" w14:paraId="2025387C" w14:textId="77777777" w:rsidTr="00F65513">
        <w:trPr>
          <w:trHeight w:val="270"/>
        </w:trPr>
        <w:tc>
          <w:tcPr>
            <w:tcW w:w="980" w:type="dxa"/>
            <w:vMerge/>
            <w:tcBorders>
              <w:top w:val="nil"/>
              <w:left w:val="single" w:sz="4" w:space="0" w:color="auto"/>
              <w:bottom w:val="single" w:sz="4" w:space="0" w:color="auto"/>
              <w:right w:val="single" w:sz="4" w:space="0" w:color="auto"/>
            </w:tcBorders>
            <w:vAlign w:val="center"/>
            <w:hideMark/>
          </w:tcPr>
          <w:p w14:paraId="6DC2DEBE" w14:textId="77777777" w:rsidR="00377F4B" w:rsidRPr="0049644E" w:rsidRDefault="00377F4B" w:rsidP="00F65513">
            <w:pPr>
              <w:spacing w:line="240" w:lineRule="auto"/>
              <w:rPr>
                <w:rFonts w:cs="Arial"/>
                <w:color w:val="000000"/>
                <w:szCs w:val="20"/>
                <w:lang w:eastAsia="sl-SI"/>
              </w:rPr>
            </w:pPr>
          </w:p>
        </w:tc>
        <w:tc>
          <w:tcPr>
            <w:tcW w:w="983" w:type="dxa"/>
            <w:vMerge/>
            <w:tcBorders>
              <w:top w:val="nil"/>
              <w:left w:val="single" w:sz="4" w:space="0" w:color="auto"/>
              <w:bottom w:val="single" w:sz="4" w:space="0" w:color="auto"/>
              <w:right w:val="single" w:sz="4" w:space="0" w:color="auto"/>
            </w:tcBorders>
            <w:vAlign w:val="center"/>
            <w:hideMark/>
          </w:tcPr>
          <w:p w14:paraId="67E81FD3" w14:textId="77777777" w:rsidR="00377F4B" w:rsidRPr="0049644E" w:rsidRDefault="00377F4B" w:rsidP="00F65513">
            <w:pPr>
              <w:spacing w:line="240" w:lineRule="auto"/>
              <w:rPr>
                <w:rFonts w:cs="Arial"/>
                <w:color w:val="000000"/>
                <w:szCs w:val="20"/>
                <w:lang w:eastAsia="sl-SI"/>
              </w:rPr>
            </w:pPr>
          </w:p>
        </w:tc>
        <w:tc>
          <w:tcPr>
            <w:tcW w:w="981" w:type="dxa"/>
            <w:tcBorders>
              <w:top w:val="nil"/>
              <w:left w:val="nil"/>
              <w:bottom w:val="single" w:sz="4" w:space="0" w:color="auto"/>
              <w:right w:val="single" w:sz="4" w:space="0" w:color="auto"/>
            </w:tcBorders>
            <w:shd w:val="clear" w:color="auto" w:fill="auto"/>
            <w:noWrap/>
            <w:vAlign w:val="bottom"/>
            <w:hideMark/>
          </w:tcPr>
          <w:p w14:paraId="4F19C4C8"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ESRR</w:t>
            </w:r>
          </w:p>
        </w:tc>
        <w:tc>
          <w:tcPr>
            <w:tcW w:w="1148" w:type="dxa"/>
            <w:tcBorders>
              <w:top w:val="nil"/>
              <w:left w:val="nil"/>
              <w:bottom w:val="single" w:sz="4" w:space="0" w:color="auto"/>
              <w:right w:val="single" w:sz="4" w:space="0" w:color="auto"/>
            </w:tcBorders>
            <w:shd w:val="clear" w:color="auto" w:fill="auto"/>
            <w:noWrap/>
            <w:vAlign w:val="bottom"/>
            <w:hideMark/>
          </w:tcPr>
          <w:p w14:paraId="2A9F1269"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Vzhod</w:t>
            </w:r>
          </w:p>
        </w:tc>
        <w:tc>
          <w:tcPr>
            <w:tcW w:w="1761" w:type="dxa"/>
            <w:tcBorders>
              <w:top w:val="nil"/>
              <w:left w:val="nil"/>
              <w:bottom w:val="single" w:sz="4" w:space="0" w:color="auto"/>
              <w:right w:val="single" w:sz="4" w:space="0" w:color="auto"/>
            </w:tcBorders>
            <w:shd w:val="clear" w:color="auto" w:fill="auto"/>
            <w:noWrap/>
            <w:vAlign w:val="bottom"/>
            <w:hideMark/>
          </w:tcPr>
          <w:p w14:paraId="3392133F"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348.514.528</w:t>
            </w:r>
          </w:p>
        </w:tc>
        <w:tc>
          <w:tcPr>
            <w:tcW w:w="1557" w:type="dxa"/>
            <w:tcBorders>
              <w:top w:val="nil"/>
              <w:left w:val="nil"/>
              <w:bottom w:val="single" w:sz="4" w:space="0" w:color="auto"/>
              <w:right w:val="single" w:sz="4" w:space="0" w:color="auto"/>
            </w:tcBorders>
            <w:shd w:val="clear" w:color="auto" w:fill="auto"/>
            <w:noWrap/>
            <w:vAlign w:val="bottom"/>
            <w:hideMark/>
          </w:tcPr>
          <w:p w14:paraId="05F92E35"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81.739.615</w:t>
            </w:r>
          </w:p>
        </w:tc>
        <w:tc>
          <w:tcPr>
            <w:tcW w:w="981" w:type="dxa"/>
            <w:tcBorders>
              <w:top w:val="nil"/>
              <w:left w:val="nil"/>
              <w:bottom w:val="single" w:sz="4" w:space="0" w:color="auto"/>
              <w:right w:val="single" w:sz="4" w:space="0" w:color="auto"/>
            </w:tcBorders>
            <w:shd w:val="clear" w:color="auto" w:fill="auto"/>
            <w:noWrap/>
            <w:vAlign w:val="bottom"/>
            <w:hideMark/>
          </w:tcPr>
          <w:p w14:paraId="436E6452"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23%</w:t>
            </w:r>
          </w:p>
        </w:tc>
        <w:tc>
          <w:tcPr>
            <w:tcW w:w="1516" w:type="dxa"/>
            <w:tcBorders>
              <w:top w:val="nil"/>
              <w:left w:val="nil"/>
              <w:bottom w:val="single" w:sz="4" w:space="0" w:color="auto"/>
              <w:right w:val="single" w:sz="4" w:space="0" w:color="auto"/>
            </w:tcBorders>
            <w:shd w:val="clear" w:color="auto" w:fill="auto"/>
            <w:noWrap/>
            <w:vAlign w:val="bottom"/>
            <w:hideMark/>
          </w:tcPr>
          <w:p w14:paraId="7D0B790C"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76.581.310</w:t>
            </w:r>
          </w:p>
        </w:tc>
        <w:tc>
          <w:tcPr>
            <w:tcW w:w="981" w:type="dxa"/>
            <w:tcBorders>
              <w:top w:val="nil"/>
              <w:left w:val="nil"/>
              <w:bottom w:val="single" w:sz="4" w:space="0" w:color="auto"/>
              <w:right w:val="single" w:sz="4" w:space="0" w:color="auto"/>
            </w:tcBorders>
            <w:shd w:val="clear" w:color="auto" w:fill="auto"/>
            <w:noWrap/>
            <w:vAlign w:val="bottom"/>
            <w:hideMark/>
          </w:tcPr>
          <w:p w14:paraId="3C2FCAB4"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22%</w:t>
            </w:r>
          </w:p>
        </w:tc>
        <w:tc>
          <w:tcPr>
            <w:tcW w:w="1637" w:type="dxa"/>
            <w:tcBorders>
              <w:top w:val="nil"/>
              <w:left w:val="nil"/>
              <w:bottom w:val="single" w:sz="4" w:space="0" w:color="auto"/>
              <w:right w:val="single" w:sz="4" w:space="0" w:color="auto"/>
            </w:tcBorders>
            <w:shd w:val="clear" w:color="auto" w:fill="auto"/>
            <w:noWrap/>
            <w:vAlign w:val="bottom"/>
            <w:hideMark/>
          </w:tcPr>
          <w:p w14:paraId="10803349"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14.968.470</w:t>
            </w:r>
          </w:p>
        </w:tc>
        <w:tc>
          <w:tcPr>
            <w:tcW w:w="981" w:type="dxa"/>
            <w:tcBorders>
              <w:top w:val="nil"/>
              <w:left w:val="nil"/>
              <w:bottom w:val="single" w:sz="4" w:space="0" w:color="auto"/>
              <w:right w:val="single" w:sz="4" w:space="0" w:color="auto"/>
            </w:tcBorders>
            <w:shd w:val="clear" w:color="auto" w:fill="auto"/>
            <w:noWrap/>
            <w:vAlign w:val="bottom"/>
            <w:hideMark/>
          </w:tcPr>
          <w:p w14:paraId="213C2D78"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4%</w:t>
            </w:r>
          </w:p>
        </w:tc>
        <w:tc>
          <w:tcPr>
            <w:tcW w:w="152" w:type="dxa"/>
            <w:vAlign w:val="center"/>
            <w:hideMark/>
          </w:tcPr>
          <w:p w14:paraId="1CA9260B" w14:textId="77777777" w:rsidR="00377F4B" w:rsidRPr="0049644E" w:rsidRDefault="00377F4B" w:rsidP="00F65513">
            <w:pPr>
              <w:spacing w:line="240" w:lineRule="auto"/>
              <w:rPr>
                <w:rFonts w:cs="Arial"/>
                <w:szCs w:val="20"/>
                <w:lang w:eastAsia="sl-SI"/>
              </w:rPr>
            </w:pPr>
          </w:p>
        </w:tc>
      </w:tr>
      <w:tr w:rsidR="00377F4B" w:rsidRPr="0049644E" w14:paraId="3397E604" w14:textId="77777777" w:rsidTr="00F65513">
        <w:trPr>
          <w:trHeight w:val="270"/>
        </w:trPr>
        <w:tc>
          <w:tcPr>
            <w:tcW w:w="980" w:type="dxa"/>
            <w:vMerge/>
            <w:tcBorders>
              <w:top w:val="nil"/>
              <w:left w:val="single" w:sz="4" w:space="0" w:color="auto"/>
              <w:bottom w:val="single" w:sz="4" w:space="0" w:color="auto"/>
              <w:right w:val="single" w:sz="4" w:space="0" w:color="auto"/>
            </w:tcBorders>
            <w:vAlign w:val="center"/>
            <w:hideMark/>
          </w:tcPr>
          <w:p w14:paraId="4EF4A145" w14:textId="77777777" w:rsidR="00377F4B" w:rsidRPr="0049644E" w:rsidRDefault="00377F4B" w:rsidP="00F65513">
            <w:pPr>
              <w:spacing w:line="240" w:lineRule="auto"/>
              <w:rPr>
                <w:rFonts w:cs="Arial"/>
                <w:color w:val="000000"/>
                <w:szCs w:val="20"/>
                <w:lang w:eastAsia="sl-SI"/>
              </w:rPr>
            </w:pPr>
          </w:p>
        </w:tc>
        <w:tc>
          <w:tcPr>
            <w:tcW w:w="983" w:type="dxa"/>
            <w:vMerge/>
            <w:tcBorders>
              <w:top w:val="nil"/>
              <w:left w:val="single" w:sz="4" w:space="0" w:color="auto"/>
              <w:bottom w:val="single" w:sz="4" w:space="0" w:color="auto"/>
              <w:right w:val="single" w:sz="4" w:space="0" w:color="auto"/>
            </w:tcBorders>
            <w:vAlign w:val="center"/>
            <w:hideMark/>
          </w:tcPr>
          <w:p w14:paraId="19DBC510" w14:textId="77777777" w:rsidR="00377F4B" w:rsidRPr="0049644E" w:rsidRDefault="00377F4B" w:rsidP="00F65513">
            <w:pPr>
              <w:spacing w:line="240" w:lineRule="auto"/>
              <w:rPr>
                <w:rFonts w:cs="Arial"/>
                <w:color w:val="000000"/>
                <w:szCs w:val="20"/>
                <w:lang w:eastAsia="sl-SI"/>
              </w:rPr>
            </w:pPr>
          </w:p>
        </w:tc>
        <w:tc>
          <w:tcPr>
            <w:tcW w:w="981" w:type="dxa"/>
            <w:tcBorders>
              <w:top w:val="nil"/>
              <w:left w:val="nil"/>
              <w:bottom w:val="single" w:sz="4" w:space="0" w:color="auto"/>
              <w:right w:val="single" w:sz="4" w:space="0" w:color="auto"/>
            </w:tcBorders>
            <w:shd w:val="clear" w:color="auto" w:fill="auto"/>
            <w:noWrap/>
            <w:vAlign w:val="bottom"/>
            <w:hideMark/>
          </w:tcPr>
          <w:p w14:paraId="1F23A6FE"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KS</w:t>
            </w:r>
          </w:p>
        </w:tc>
        <w:tc>
          <w:tcPr>
            <w:tcW w:w="1148" w:type="dxa"/>
            <w:tcBorders>
              <w:top w:val="nil"/>
              <w:left w:val="nil"/>
              <w:bottom w:val="single" w:sz="4" w:space="0" w:color="auto"/>
              <w:right w:val="single" w:sz="4" w:space="0" w:color="auto"/>
            </w:tcBorders>
            <w:shd w:val="clear" w:color="auto" w:fill="auto"/>
            <w:noWrap/>
            <w:vAlign w:val="bottom"/>
            <w:hideMark/>
          </w:tcPr>
          <w:p w14:paraId="35CA303F"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Celotna SI</w:t>
            </w:r>
          </w:p>
        </w:tc>
        <w:tc>
          <w:tcPr>
            <w:tcW w:w="1761" w:type="dxa"/>
            <w:tcBorders>
              <w:top w:val="nil"/>
              <w:left w:val="nil"/>
              <w:bottom w:val="single" w:sz="4" w:space="0" w:color="auto"/>
              <w:right w:val="single" w:sz="4" w:space="0" w:color="auto"/>
            </w:tcBorders>
            <w:shd w:val="clear" w:color="auto" w:fill="auto"/>
            <w:noWrap/>
            <w:vAlign w:val="bottom"/>
            <w:hideMark/>
          </w:tcPr>
          <w:p w14:paraId="28A9AFCA"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295.533.041</w:t>
            </w:r>
          </w:p>
        </w:tc>
        <w:tc>
          <w:tcPr>
            <w:tcW w:w="1557" w:type="dxa"/>
            <w:tcBorders>
              <w:top w:val="nil"/>
              <w:left w:val="nil"/>
              <w:bottom w:val="single" w:sz="4" w:space="0" w:color="auto"/>
              <w:right w:val="single" w:sz="4" w:space="0" w:color="auto"/>
            </w:tcBorders>
            <w:shd w:val="clear" w:color="auto" w:fill="auto"/>
            <w:noWrap/>
            <w:vAlign w:val="bottom"/>
            <w:hideMark/>
          </w:tcPr>
          <w:p w14:paraId="10C99620"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65.391.094</w:t>
            </w:r>
          </w:p>
        </w:tc>
        <w:tc>
          <w:tcPr>
            <w:tcW w:w="981" w:type="dxa"/>
            <w:tcBorders>
              <w:top w:val="nil"/>
              <w:left w:val="nil"/>
              <w:bottom w:val="single" w:sz="4" w:space="0" w:color="auto"/>
              <w:right w:val="single" w:sz="4" w:space="0" w:color="auto"/>
            </w:tcBorders>
            <w:shd w:val="clear" w:color="auto" w:fill="auto"/>
            <w:noWrap/>
            <w:vAlign w:val="bottom"/>
            <w:hideMark/>
          </w:tcPr>
          <w:p w14:paraId="209116E1"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22%</w:t>
            </w:r>
          </w:p>
        </w:tc>
        <w:tc>
          <w:tcPr>
            <w:tcW w:w="1516" w:type="dxa"/>
            <w:tcBorders>
              <w:top w:val="nil"/>
              <w:left w:val="nil"/>
              <w:bottom w:val="single" w:sz="4" w:space="0" w:color="auto"/>
              <w:right w:val="single" w:sz="4" w:space="0" w:color="auto"/>
            </w:tcBorders>
            <w:shd w:val="clear" w:color="auto" w:fill="auto"/>
            <w:noWrap/>
            <w:vAlign w:val="bottom"/>
            <w:hideMark/>
          </w:tcPr>
          <w:p w14:paraId="792773A0"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39.891.094</w:t>
            </w:r>
          </w:p>
        </w:tc>
        <w:tc>
          <w:tcPr>
            <w:tcW w:w="981" w:type="dxa"/>
            <w:tcBorders>
              <w:top w:val="nil"/>
              <w:left w:val="nil"/>
              <w:bottom w:val="single" w:sz="4" w:space="0" w:color="auto"/>
              <w:right w:val="single" w:sz="4" w:space="0" w:color="auto"/>
            </w:tcBorders>
            <w:shd w:val="clear" w:color="auto" w:fill="auto"/>
            <w:noWrap/>
            <w:vAlign w:val="bottom"/>
            <w:hideMark/>
          </w:tcPr>
          <w:p w14:paraId="798BC2AC"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13%</w:t>
            </w:r>
          </w:p>
        </w:tc>
        <w:tc>
          <w:tcPr>
            <w:tcW w:w="1637" w:type="dxa"/>
            <w:tcBorders>
              <w:top w:val="nil"/>
              <w:left w:val="nil"/>
              <w:bottom w:val="single" w:sz="4" w:space="0" w:color="auto"/>
              <w:right w:val="single" w:sz="4" w:space="0" w:color="auto"/>
            </w:tcBorders>
            <w:shd w:val="clear" w:color="auto" w:fill="auto"/>
            <w:noWrap/>
            <w:vAlign w:val="bottom"/>
            <w:hideMark/>
          </w:tcPr>
          <w:p w14:paraId="01B842F0"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8.742.523</w:t>
            </w:r>
          </w:p>
        </w:tc>
        <w:tc>
          <w:tcPr>
            <w:tcW w:w="981" w:type="dxa"/>
            <w:tcBorders>
              <w:top w:val="nil"/>
              <w:left w:val="nil"/>
              <w:bottom w:val="single" w:sz="4" w:space="0" w:color="auto"/>
              <w:right w:val="single" w:sz="4" w:space="0" w:color="auto"/>
            </w:tcBorders>
            <w:shd w:val="clear" w:color="auto" w:fill="auto"/>
            <w:noWrap/>
            <w:vAlign w:val="bottom"/>
            <w:hideMark/>
          </w:tcPr>
          <w:p w14:paraId="14ECADCF"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w:t>
            </w:r>
          </w:p>
        </w:tc>
        <w:tc>
          <w:tcPr>
            <w:tcW w:w="152" w:type="dxa"/>
            <w:vAlign w:val="center"/>
            <w:hideMark/>
          </w:tcPr>
          <w:p w14:paraId="56D48FA7" w14:textId="77777777" w:rsidR="00377F4B" w:rsidRPr="0049644E" w:rsidRDefault="00377F4B" w:rsidP="00F65513">
            <w:pPr>
              <w:spacing w:line="240" w:lineRule="auto"/>
              <w:rPr>
                <w:rFonts w:cs="Arial"/>
                <w:szCs w:val="20"/>
                <w:lang w:eastAsia="sl-SI"/>
              </w:rPr>
            </w:pPr>
          </w:p>
        </w:tc>
      </w:tr>
      <w:tr w:rsidR="00377F4B" w:rsidRPr="0049644E" w14:paraId="5D72BCA9" w14:textId="77777777" w:rsidTr="00F65513">
        <w:trPr>
          <w:trHeight w:val="270"/>
        </w:trPr>
        <w:tc>
          <w:tcPr>
            <w:tcW w:w="980" w:type="dxa"/>
            <w:vMerge/>
            <w:tcBorders>
              <w:top w:val="nil"/>
              <w:left w:val="single" w:sz="4" w:space="0" w:color="auto"/>
              <w:bottom w:val="single" w:sz="4" w:space="0" w:color="auto"/>
              <w:right w:val="single" w:sz="4" w:space="0" w:color="auto"/>
            </w:tcBorders>
            <w:vAlign w:val="center"/>
            <w:hideMark/>
          </w:tcPr>
          <w:p w14:paraId="655FF3F4" w14:textId="77777777" w:rsidR="00377F4B" w:rsidRPr="0049644E" w:rsidRDefault="00377F4B" w:rsidP="00F65513">
            <w:pPr>
              <w:spacing w:line="240" w:lineRule="auto"/>
              <w:rPr>
                <w:rFonts w:cs="Arial"/>
                <w:color w:val="000000"/>
                <w:szCs w:val="20"/>
                <w:lang w:eastAsia="sl-SI"/>
              </w:rPr>
            </w:pPr>
          </w:p>
        </w:tc>
        <w:tc>
          <w:tcPr>
            <w:tcW w:w="983" w:type="dxa"/>
            <w:vMerge w:val="restart"/>
            <w:tcBorders>
              <w:top w:val="nil"/>
              <w:left w:val="single" w:sz="4" w:space="0" w:color="auto"/>
              <w:bottom w:val="single" w:sz="4" w:space="0" w:color="auto"/>
              <w:right w:val="single" w:sz="4" w:space="0" w:color="auto"/>
            </w:tcBorders>
            <w:shd w:val="clear" w:color="auto" w:fill="auto"/>
            <w:noWrap/>
            <w:hideMark/>
          </w:tcPr>
          <w:p w14:paraId="2D1EC2F0"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4</w:t>
            </w:r>
          </w:p>
        </w:tc>
        <w:tc>
          <w:tcPr>
            <w:tcW w:w="981" w:type="dxa"/>
            <w:tcBorders>
              <w:top w:val="nil"/>
              <w:left w:val="nil"/>
              <w:bottom w:val="single" w:sz="4" w:space="0" w:color="auto"/>
              <w:right w:val="single" w:sz="4" w:space="0" w:color="auto"/>
            </w:tcBorders>
            <w:shd w:val="clear" w:color="auto" w:fill="auto"/>
            <w:noWrap/>
            <w:vAlign w:val="bottom"/>
            <w:hideMark/>
          </w:tcPr>
          <w:p w14:paraId="10294F3A"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ESRR</w:t>
            </w:r>
          </w:p>
        </w:tc>
        <w:tc>
          <w:tcPr>
            <w:tcW w:w="1148" w:type="dxa"/>
            <w:tcBorders>
              <w:top w:val="nil"/>
              <w:left w:val="nil"/>
              <w:bottom w:val="single" w:sz="4" w:space="0" w:color="auto"/>
              <w:right w:val="single" w:sz="4" w:space="0" w:color="auto"/>
            </w:tcBorders>
            <w:shd w:val="clear" w:color="auto" w:fill="auto"/>
            <w:noWrap/>
            <w:vAlign w:val="bottom"/>
            <w:hideMark/>
          </w:tcPr>
          <w:p w14:paraId="1BD115FA"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Zahod</w:t>
            </w:r>
          </w:p>
        </w:tc>
        <w:tc>
          <w:tcPr>
            <w:tcW w:w="1761" w:type="dxa"/>
            <w:tcBorders>
              <w:top w:val="nil"/>
              <w:left w:val="nil"/>
              <w:bottom w:val="single" w:sz="4" w:space="0" w:color="auto"/>
              <w:right w:val="single" w:sz="4" w:space="0" w:color="auto"/>
            </w:tcBorders>
            <w:shd w:val="clear" w:color="auto" w:fill="auto"/>
            <w:noWrap/>
            <w:vAlign w:val="bottom"/>
            <w:hideMark/>
          </w:tcPr>
          <w:p w14:paraId="3F44CA3F"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16.644.692</w:t>
            </w:r>
          </w:p>
        </w:tc>
        <w:tc>
          <w:tcPr>
            <w:tcW w:w="1557" w:type="dxa"/>
            <w:tcBorders>
              <w:top w:val="nil"/>
              <w:left w:val="nil"/>
              <w:bottom w:val="single" w:sz="4" w:space="0" w:color="auto"/>
              <w:right w:val="single" w:sz="4" w:space="0" w:color="auto"/>
            </w:tcBorders>
            <w:shd w:val="clear" w:color="auto" w:fill="auto"/>
            <w:noWrap/>
            <w:vAlign w:val="bottom"/>
            <w:hideMark/>
          </w:tcPr>
          <w:p w14:paraId="4D0FB617"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6EC97D13"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516" w:type="dxa"/>
            <w:tcBorders>
              <w:top w:val="nil"/>
              <w:left w:val="nil"/>
              <w:bottom w:val="single" w:sz="4" w:space="0" w:color="auto"/>
              <w:right w:val="single" w:sz="4" w:space="0" w:color="auto"/>
            </w:tcBorders>
            <w:shd w:val="clear" w:color="auto" w:fill="auto"/>
            <w:noWrap/>
            <w:vAlign w:val="bottom"/>
            <w:hideMark/>
          </w:tcPr>
          <w:p w14:paraId="42D0313F"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47FE14BA"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637" w:type="dxa"/>
            <w:tcBorders>
              <w:top w:val="nil"/>
              <w:left w:val="nil"/>
              <w:bottom w:val="single" w:sz="4" w:space="0" w:color="auto"/>
              <w:right w:val="single" w:sz="4" w:space="0" w:color="auto"/>
            </w:tcBorders>
            <w:shd w:val="clear" w:color="auto" w:fill="auto"/>
            <w:noWrap/>
            <w:vAlign w:val="bottom"/>
            <w:hideMark/>
          </w:tcPr>
          <w:p w14:paraId="796E1169"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0E9EF44A"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52" w:type="dxa"/>
            <w:vAlign w:val="center"/>
            <w:hideMark/>
          </w:tcPr>
          <w:p w14:paraId="030E7A34" w14:textId="77777777" w:rsidR="00377F4B" w:rsidRPr="0049644E" w:rsidRDefault="00377F4B" w:rsidP="00F65513">
            <w:pPr>
              <w:spacing w:line="240" w:lineRule="auto"/>
              <w:rPr>
                <w:rFonts w:cs="Arial"/>
                <w:szCs w:val="20"/>
                <w:lang w:eastAsia="sl-SI"/>
              </w:rPr>
            </w:pPr>
          </w:p>
        </w:tc>
      </w:tr>
      <w:tr w:rsidR="00377F4B" w:rsidRPr="0049644E" w14:paraId="55B91C46" w14:textId="77777777" w:rsidTr="00F65513">
        <w:trPr>
          <w:trHeight w:val="270"/>
        </w:trPr>
        <w:tc>
          <w:tcPr>
            <w:tcW w:w="980" w:type="dxa"/>
            <w:vMerge/>
            <w:tcBorders>
              <w:top w:val="nil"/>
              <w:left w:val="single" w:sz="4" w:space="0" w:color="auto"/>
              <w:bottom w:val="single" w:sz="4" w:space="0" w:color="auto"/>
              <w:right w:val="single" w:sz="4" w:space="0" w:color="auto"/>
            </w:tcBorders>
            <w:vAlign w:val="center"/>
            <w:hideMark/>
          </w:tcPr>
          <w:p w14:paraId="15BC79D7" w14:textId="77777777" w:rsidR="00377F4B" w:rsidRPr="0049644E" w:rsidRDefault="00377F4B" w:rsidP="00F65513">
            <w:pPr>
              <w:spacing w:line="240" w:lineRule="auto"/>
              <w:rPr>
                <w:rFonts w:cs="Arial"/>
                <w:color w:val="000000"/>
                <w:szCs w:val="20"/>
                <w:lang w:eastAsia="sl-SI"/>
              </w:rPr>
            </w:pPr>
          </w:p>
        </w:tc>
        <w:tc>
          <w:tcPr>
            <w:tcW w:w="983" w:type="dxa"/>
            <w:vMerge/>
            <w:tcBorders>
              <w:top w:val="nil"/>
              <w:left w:val="single" w:sz="4" w:space="0" w:color="auto"/>
              <w:bottom w:val="single" w:sz="4" w:space="0" w:color="auto"/>
              <w:right w:val="single" w:sz="4" w:space="0" w:color="auto"/>
            </w:tcBorders>
            <w:vAlign w:val="center"/>
            <w:hideMark/>
          </w:tcPr>
          <w:p w14:paraId="7A9ADA6F" w14:textId="77777777" w:rsidR="00377F4B" w:rsidRPr="0049644E" w:rsidRDefault="00377F4B" w:rsidP="00F65513">
            <w:pPr>
              <w:spacing w:line="240" w:lineRule="auto"/>
              <w:rPr>
                <w:rFonts w:cs="Arial"/>
                <w:color w:val="000000"/>
                <w:szCs w:val="20"/>
                <w:lang w:eastAsia="sl-SI"/>
              </w:rPr>
            </w:pPr>
          </w:p>
        </w:tc>
        <w:tc>
          <w:tcPr>
            <w:tcW w:w="981" w:type="dxa"/>
            <w:tcBorders>
              <w:top w:val="nil"/>
              <w:left w:val="nil"/>
              <w:bottom w:val="single" w:sz="4" w:space="0" w:color="auto"/>
              <w:right w:val="single" w:sz="4" w:space="0" w:color="auto"/>
            </w:tcBorders>
            <w:shd w:val="clear" w:color="auto" w:fill="auto"/>
            <w:noWrap/>
            <w:vAlign w:val="bottom"/>
            <w:hideMark/>
          </w:tcPr>
          <w:p w14:paraId="21BAD068"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ESRR</w:t>
            </w:r>
          </w:p>
        </w:tc>
        <w:tc>
          <w:tcPr>
            <w:tcW w:w="1148" w:type="dxa"/>
            <w:tcBorders>
              <w:top w:val="nil"/>
              <w:left w:val="nil"/>
              <w:bottom w:val="single" w:sz="4" w:space="0" w:color="auto"/>
              <w:right w:val="single" w:sz="4" w:space="0" w:color="auto"/>
            </w:tcBorders>
            <w:shd w:val="clear" w:color="auto" w:fill="auto"/>
            <w:noWrap/>
            <w:vAlign w:val="bottom"/>
            <w:hideMark/>
          </w:tcPr>
          <w:p w14:paraId="16D9F7D5"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Vzhod</w:t>
            </w:r>
          </w:p>
        </w:tc>
        <w:tc>
          <w:tcPr>
            <w:tcW w:w="1761" w:type="dxa"/>
            <w:tcBorders>
              <w:top w:val="nil"/>
              <w:left w:val="nil"/>
              <w:bottom w:val="single" w:sz="4" w:space="0" w:color="auto"/>
              <w:right w:val="single" w:sz="4" w:space="0" w:color="auto"/>
            </w:tcBorders>
            <w:shd w:val="clear" w:color="auto" w:fill="auto"/>
            <w:noWrap/>
            <w:vAlign w:val="bottom"/>
            <w:hideMark/>
          </w:tcPr>
          <w:p w14:paraId="430555E2"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37.272.561</w:t>
            </w:r>
          </w:p>
        </w:tc>
        <w:tc>
          <w:tcPr>
            <w:tcW w:w="1557" w:type="dxa"/>
            <w:tcBorders>
              <w:top w:val="nil"/>
              <w:left w:val="nil"/>
              <w:bottom w:val="single" w:sz="4" w:space="0" w:color="auto"/>
              <w:right w:val="single" w:sz="4" w:space="0" w:color="auto"/>
            </w:tcBorders>
            <w:shd w:val="clear" w:color="auto" w:fill="auto"/>
            <w:noWrap/>
            <w:vAlign w:val="bottom"/>
            <w:hideMark/>
          </w:tcPr>
          <w:p w14:paraId="3EBC9F16"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652FDC9E"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516" w:type="dxa"/>
            <w:tcBorders>
              <w:top w:val="nil"/>
              <w:left w:val="nil"/>
              <w:bottom w:val="single" w:sz="4" w:space="0" w:color="auto"/>
              <w:right w:val="single" w:sz="4" w:space="0" w:color="auto"/>
            </w:tcBorders>
            <w:shd w:val="clear" w:color="auto" w:fill="auto"/>
            <w:noWrap/>
            <w:vAlign w:val="bottom"/>
            <w:hideMark/>
          </w:tcPr>
          <w:p w14:paraId="782F7A21"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506D30EF"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637" w:type="dxa"/>
            <w:tcBorders>
              <w:top w:val="nil"/>
              <w:left w:val="nil"/>
              <w:bottom w:val="single" w:sz="4" w:space="0" w:color="auto"/>
              <w:right w:val="single" w:sz="4" w:space="0" w:color="auto"/>
            </w:tcBorders>
            <w:shd w:val="clear" w:color="auto" w:fill="auto"/>
            <w:noWrap/>
            <w:vAlign w:val="bottom"/>
            <w:hideMark/>
          </w:tcPr>
          <w:p w14:paraId="07FB1EDD"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47DBB630"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52" w:type="dxa"/>
            <w:vAlign w:val="center"/>
            <w:hideMark/>
          </w:tcPr>
          <w:p w14:paraId="52E9283A" w14:textId="77777777" w:rsidR="00377F4B" w:rsidRPr="0049644E" w:rsidRDefault="00377F4B" w:rsidP="00F65513">
            <w:pPr>
              <w:spacing w:line="240" w:lineRule="auto"/>
              <w:rPr>
                <w:rFonts w:cs="Arial"/>
                <w:szCs w:val="20"/>
                <w:lang w:eastAsia="sl-SI"/>
              </w:rPr>
            </w:pPr>
          </w:p>
        </w:tc>
      </w:tr>
      <w:tr w:rsidR="00377F4B" w:rsidRPr="0049644E" w14:paraId="408701B8" w14:textId="77777777" w:rsidTr="00F65513">
        <w:trPr>
          <w:trHeight w:val="27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14:paraId="397E9627"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CP3</w:t>
            </w:r>
          </w:p>
        </w:tc>
        <w:tc>
          <w:tcPr>
            <w:tcW w:w="983" w:type="dxa"/>
            <w:vMerge w:val="restart"/>
            <w:tcBorders>
              <w:top w:val="nil"/>
              <w:left w:val="single" w:sz="4" w:space="0" w:color="auto"/>
              <w:bottom w:val="single" w:sz="4" w:space="0" w:color="auto"/>
              <w:right w:val="single" w:sz="4" w:space="0" w:color="auto"/>
            </w:tcBorders>
            <w:shd w:val="clear" w:color="auto" w:fill="auto"/>
            <w:noWrap/>
            <w:hideMark/>
          </w:tcPr>
          <w:p w14:paraId="48531F26"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5</w:t>
            </w:r>
          </w:p>
        </w:tc>
        <w:tc>
          <w:tcPr>
            <w:tcW w:w="981" w:type="dxa"/>
            <w:tcBorders>
              <w:top w:val="nil"/>
              <w:left w:val="nil"/>
              <w:bottom w:val="single" w:sz="4" w:space="0" w:color="auto"/>
              <w:right w:val="single" w:sz="4" w:space="0" w:color="auto"/>
            </w:tcBorders>
            <w:shd w:val="clear" w:color="auto" w:fill="auto"/>
            <w:noWrap/>
            <w:vAlign w:val="bottom"/>
            <w:hideMark/>
          </w:tcPr>
          <w:p w14:paraId="37DECB7F"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ESRR</w:t>
            </w:r>
          </w:p>
        </w:tc>
        <w:tc>
          <w:tcPr>
            <w:tcW w:w="1148" w:type="dxa"/>
            <w:tcBorders>
              <w:top w:val="nil"/>
              <w:left w:val="nil"/>
              <w:bottom w:val="single" w:sz="4" w:space="0" w:color="auto"/>
              <w:right w:val="single" w:sz="4" w:space="0" w:color="auto"/>
            </w:tcBorders>
            <w:shd w:val="clear" w:color="auto" w:fill="auto"/>
            <w:noWrap/>
            <w:vAlign w:val="bottom"/>
            <w:hideMark/>
          </w:tcPr>
          <w:p w14:paraId="7931A70B"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Vzhod</w:t>
            </w:r>
          </w:p>
        </w:tc>
        <w:tc>
          <w:tcPr>
            <w:tcW w:w="1761" w:type="dxa"/>
            <w:tcBorders>
              <w:top w:val="nil"/>
              <w:left w:val="nil"/>
              <w:bottom w:val="single" w:sz="4" w:space="0" w:color="auto"/>
              <w:right w:val="single" w:sz="4" w:space="0" w:color="auto"/>
            </w:tcBorders>
            <w:shd w:val="clear" w:color="auto" w:fill="auto"/>
            <w:noWrap/>
            <w:vAlign w:val="bottom"/>
            <w:hideMark/>
          </w:tcPr>
          <w:p w14:paraId="00E23E05"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105.888.481</w:t>
            </w:r>
          </w:p>
        </w:tc>
        <w:tc>
          <w:tcPr>
            <w:tcW w:w="1557" w:type="dxa"/>
            <w:tcBorders>
              <w:top w:val="nil"/>
              <w:left w:val="nil"/>
              <w:bottom w:val="single" w:sz="4" w:space="0" w:color="auto"/>
              <w:right w:val="single" w:sz="4" w:space="0" w:color="auto"/>
            </w:tcBorders>
            <w:shd w:val="clear" w:color="auto" w:fill="auto"/>
            <w:noWrap/>
            <w:vAlign w:val="bottom"/>
            <w:hideMark/>
          </w:tcPr>
          <w:p w14:paraId="02720463"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6B1EF0C7"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516" w:type="dxa"/>
            <w:tcBorders>
              <w:top w:val="nil"/>
              <w:left w:val="nil"/>
              <w:bottom w:val="single" w:sz="4" w:space="0" w:color="auto"/>
              <w:right w:val="single" w:sz="4" w:space="0" w:color="auto"/>
            </w:tcBorders>
            <w:shd w:val="clear" w:color="auto" w:fill="auto"/>
            <w:noWrap/>
            <w:vAlign w:val="bottom"/>
            <w:hideMark/>
          </w:tcPr>
          <w:p w14:paraId="1D07EB15"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53D23542"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637" w:type="dxa"/>
            <w:tcBorders>
              <w:top w:val="nil"/>
              <w:left w:val="nil"/>
              <w:bottom w:val="single" w:sz="4" w:space="0" w:color="auto"/>
              <w:right w:val="single" w:sz="4" w:space="0" w:color="auto"/>
            </w:tcBorders>
            <w:shd w:val="clear" w:color="auto" w:fill="auto"/>
            <w:noWrap/>
            <w:vAlign w:val="bottom"/>
            <w:hideMark/>
          </w:tcPr>
          <w:p w14:paraId="4251FA65"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5DFFD13A"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52" w:type="dxa"/>
            <w:vAlign w:val="center"/>
            <w:hideMark/>
          </w:tcPr>
          <w:p w14:paraId="3A0A846C" w14:textId="77777777" w:rsidR="00377F4B" w:rsidRPr="0049644E" w:rsidRDefault="00377F4B" w:rsidP="00F65513">
            <w:pPr>
              <w:spacing w:line="240" w:lineRule="auto"/>
              <w:rPr>
                <w:rFonts w:cs="Arial"/>
                <w:szCs w:val="20"/>
                <w:lang w:eastAsia="sl-SI"/>
              </w:rPr>
            </w:pPr>
          </w:p>
        </w:tc>
      </w:tr>
      <w:tr w:rsidR="00377F4B" w:rsidRPr="0049644E" w14:paraId="035E5173" w14:textId="77777777" w:rsidTr="00F65513">
        <w:trPr>
          <w:trHeight w:val="270"/>
        </w:trPr>
        <w:tc>
          <w:tcPr>
            <w:tcW w:w="980" w:type="dxa"/>
            <w:vMerge/>
            <w:tcBorders>
              <w:top w:val="nil"/>
              <w:left w:val="single" w:sz="4" w:space="0" w:color="auto"/>
              <w:bottom w:val="single" w:sz="4" w:space="0" w:color="auto"/>
              <w:right w:val="single" w:sz="4" w:space="0" w:color="auto"/>
            </w:tcBorders>
            <w:vAlign w:val="center"/>
            <w:hideMark/>
          </w:tcPr>
          <w:p w14:paraId="1659CB8F" w14:textId="77777777" w:rsidR="00377F4B" w:rsidRPr="0049644E" w:rsidRDefault="00377F4B" w:rsidP="00F65513">
            <w:pPr>
              <w:spacing w:line="240" w:lineRule="auto"/>
              <w:rPr>
                <w:rFonts w:cs="Arial"/>
                <w:color w:val="000000"/>
                <w:szCs w:val="20"/>
                <w:lang w:eastAsia="sl-SI"/>
              </w:rPr>
            </w:pPr>
          </w:p>
        </w:tc>
        <w:tc>
          <w:tcPr>
            <w:tcW w:w="983" w:type="dxa"/>
            <w:vMerge/>
            <w:tcBorders>
              <w:top w:val="nil"/>
              <w:left w:val="single" w:sz="4" w:space="0" w:color="auto"/>
              <w:bottom w:val="single" w:sz="4" w:space="0" w:color="auto"/>
              <w:right w:val="single" w:sz="4" w:space="0" w:color="auto"/>
            </w:tcBorders>
            <w:vAlign w:val="center"/>
            <w:hideMark/>
          </w:tcPr>
          <w:p w14:paraId="0DE2ED04" w14:textId="77777777" w:rsidR="00377F4B" w:rsidRPr="0049644E" w:rsidRDefault="00377F4B" w:rsidP="00F65513">
            <w:pPr>
              <w:spacing w:line="240" w:lineRule="auto"/>
              <w:rPr>
                <w:rFonts w:cs="Arial"/>
                <w:color w:val="000000"/>
                <w:szCs w:val="20"/>
                <w:lang w:eastAsia="sl-SI"/>
              </w:rPr>
            </w:pPr>
          </w:p>
        </w:tc>
        <w:tc>
          <w:tcPr>
            <w:tcW w:w="981" w:type="dxa"/>
            <w:tcBorders>
              <w:top w:val="nil"/>
              <w:left w:val="nil"/>
              <w:bottom w:val="single" w:sz="4" w:space="0" w:color="auto"/>
              <w:right w:val="single" w:sz="4" w:space="0" w:color="auto"/>
            </w:tcBorders>
            <w:shd w:val="clear" w:color="auto" w:fill="auto"/>
            <w:noWrap/>
            <w:vAlign w:val="bottom"/>
            <w:hideMark/>
          </w:tcPr>
          <w:p w14:paraId="55AB718B"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KS</w:t>
            </w:r>
          </w:p>
        </w:tc>
        <w:tc>
          <w:tcPr>
            <w:tcW w:w="1148" w:type="dxa"/>
            <w:tcBorders>
              <w:top w:val="nil"/>
              <w:left w:val="nil"/>
              <w:bottom w:val="single" w:sz="4" w:space="0" w:color="auto"/>
              <w:right w:val="single" w:sz="4" w:space="0" w:color="auto"/>
            </w:tcBorders>
            <w:shd w:val="clear" w:color="auto" w:fill="auto"/>
            <w:noWrap/>
            <w:vAlign w:val="bottom"/>
            <w:hideMark/>
          </w:tcPr>
          <w:p w14:paraId="2D2FB917"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Celotna SI</w:t>
            </w:r>
          </w:p>
        </w:tc>
        <w:tc>
          <w:tcPr>
            <w:tcW w:w="1761" w:type="dxa"/>
            <w:tcBorders>
              <w:top w:val="nil"/>
              <w:left w:val="nil"/>
              <w:bottom w:val="single" w:sz="4" w:space="0" w:color="auto"/>
              <w:right w:val="single" w:sz="4" w:space="0" w:color="auto"/>
            </w:tcBorders>
            <w:shd w:val="clear" w:color="auto" w:fill="auto"/>
            <w:noWrap/>
            <w:vAlign w:val="bottom"/>
            <w:hideMark/>
          </w:tcPr>
          <w:p w14:paraId="1ADC67CC"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405.142.680</w:t>
            </w:r>
          </w:p>
        </w:tc>
        <w:tc>
          <w:tcPr>
            <w:tcW w:w="1557" w:type="dxa"/>
            <w:tcBorders>
              <w:top w:val="nil"/>
              <w:left w:val="nil"/>
              <w:bottom w:val="single" w:sz="4" w:space="0" w:color="auto"/>
              <w:right w:val="single" w:sz="4" w:space="0" w:color="auto"/>
            </w:tcBorders>
            <w:shd w:val="clear" w:color="auto" w:fill="auto"/>
            <w:noWrap/>
            <w:vAlign w:val="bottom"/>
            <w:hideMark/>
          </w:tcPr>
          <w:p w14:paraId="1486B8AE"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39.634.567</w:t>
            </w:r>
          </w:p>
        </w:tc>
        <w:tc>
          <w:tcPr>
            <w:tcW w:w="981" w:type="dxa"/>
            <w:tcBorders>
              <w:top w:val="nil"/>
              <w:left w:val="nil"/>
              <w:bottom w:val="single" w:sz="4" w:space="0" w:color="auto"/>
              <w:right w:val="single" w:sz="4" w:space="0" w:color="auto"/>
            </w:tcBorders>
            <w:shd w:val="clear" w:color="auto" w:fill="auto"/>
            <w:noWrap/>
            <w:vAlign w:val="bottom"/>
            <w:hideMark/>
          </w:tcPr>
          <w:p w14:paraId="0F67AE33"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10%</w:t>
            </w:r>
          </w:p>
        </w:tc>
        <w:tc>
          <w:tcPr>
            <w:tcW w:w="1516" w:type="dxa"/>
            <w:tcBorders>
              <w:top w:val="nil"/>
              <w:left w:val="nil"/>
              <w:bottom w:val="single" w:sz="4" w:space="0" w:color="auto"/>
              <w:right w:val="single" w:sz="4" w:space="0" w:color="auto"/>
            </w:tcBorders>
            <w:shd w:val="clear" w:color="auto" w:fill="auto"/>
            <w:noWrap/>
            <w:vAlign w:val="bottom"/>
            <w:hideMark/>
          </w:tcPr>
          <w:p w14:paraId="17929CD7"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16.211.065</w:t>
            </w:r>
          </w:p>
        </w:tc>
        <w:tc>
          <w:tcPr>
            <w:tcW w:w="981" w:type="dxa"/>
            <w:tcBorders>
              <w:top w:val="nil"/>
              <w:left w:val="nil"/>
              <w:bottom w:val="single" w:sz="4" w:space="0" w:color="auto"/>
              <w:right w:val="single" w:sz="4" w:space="0" w:color="auto"/>
            </w:tcBorders>
            <w:shd w:val="clear" w:color="auto" w:fill="auto"/>
            <w:noWrap/>
            <w:vAlign w:val="bottom"/>
            <w:hideMark/>
          </w:tcPr>
          <w:p w14:paraId="6E97B46D"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4%</w:t>
            </w:r>
          </w:p>
        </w:tc>
        <w:tc>
          <w:tcPr>
            <w:tcW w:w="1637" w:type="dxa"/>
            <w:tcBorders>
              <w:top w:val="nil"/>
              <w:left w:val="nil"/>
              <w:bottom w:val="single" w:sz="4" w:space="0" w:color="auto"/>
              <w:right w:val="single" w:sz="4" w:space="0" w:color="auto"/>
            </w:tcBorders>
            <w:shd w:val="clear" w:color="auto" w:fill="auto"/>
            <w:noWrap/>
            <w:vAlign w:val="bottom"/>
            <w:hideMark/>
          </w:tcPr>
          <w:p w14:paraId="4CF1AF03"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11.010.792</w:t>
            </w:r>
          </w:p>
        </w:tc>
        <w:tc>
          <w:tcPr>
            <w:tcW w:w="981" w:type="dxa"/>
            <w:tcBorders>
              <w:top w:val="nil"/>
              <w:left w:val="nil"/>
              <w:bottom w:val="single" w:sz="4" w:space="0" w:color="auto"/>
              <w:right w:val="single" w:sz="4" w:space="0" w:color="auto"/>
            </w:tcBorders>
            <w:shd w:val="clear" w:color="auto" w:fill="auto"/>
            <w:noWrap/>
            <w:vAlign w:val="bottom"/>
            <w:hideMark/>
          </w:tcPr>
          <w:p w14:paraId="6ED3D1D7"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w:t>
            </w:r>
          </w:p>
        </w:tc>
        <w:tc>
          <w:tcPr>
            <w:tcW w:w="152" w:type="dxa"/>
            <w:vAlign w:val="center"/>
            <w:hideMark/>
          </w:tcPr>
          <w:p w14:paraId="4F261772" w14:textId="77777777" w:rsidR="00377F4B" w:rsidRPr="0049644E" w:rsidRDefault="00377F4B" w:rsidP="00F65513">
            <w:pPr>
              <w:spacing w:line="240" w:lineRule="auto"/>
              <w:rPr>
                <w:rFonts w:cs="Arial"/>
                <w:szCs w:val="20"/>
                <w:lang w:eastAsia="sl-SI"/>
              </w:rPr>
            </w:pPr>
          </w:p>
        </w:tc>
      </w:tr>
      <w:tr w:rsidR="00377F4B" w:rsidRPr="0049644E" w14:paraId="796A9E69" w14:textId="77777777" w:rsidTr="00F65513">
        <w:trPr>
          <w:trHeight w:val="27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14:paraId="546764DE"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CP4</w:t>
            </w:r>
          </w:p>
        </w:tc>
        <w:tc>
          <w:tcPr>
            <w:tcW w:w="983" w:type="dxa"/>
            <w:vMerge w:val="restart"/>
            <w:tcBorders>
              <w:top w:val="nil"/>
              <w:left w:val="single" w:sz="4" w:space="0" w:color="auto"/>
              <w:bottom w:val="single" w:sz="4" w:space="0" w:color="auto"/>
              <w:right w:val="single" w:sz="4" w:space="0" w:color="auto"/>
            </w:tcBorders>
            <w:shd w:val="clear" w:color="auto" w:fill="auto"/>
            <w:noWrap/>
            <w:hideMark/>
          </w:tcPr>
          <w:p w14:paraId="1D958C6A"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6</w:t>
            </w:r>
          </w:p>
        </w:tc>
        <w:tc>
          <w:tcPr>
            <w:tcW w:w="981" w:type="dxa"/>
            <w:tcBorders>
              <w:top w:val="nil"/>
              <w:left w:val="nil"/>
              <w:bottom w:val="single" w:sz="4" w:space="0" w:color="auto"/>
              <w:right w:val="single" w:sz="4" w:space="0" w:color="auto"/>
            </w:tcBorders>
            <w:shd w:val="clear" w:color="auto" w:fill="auto"/>
            <w:noWrap/>
            <w:vAlign w:val="bottom"/>
            <w:hideMark/>
          </w:tcPr>
          <w:p w14:paraId="0D388A57"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ESRR</w:t>
            </w:r>
          </w:p>
        </w:tc>
        <w:tc>
          <w:tcPr>
            <w:tcW w:w="1148" w:type="dxa"/>
            <w:tcBorders>
              <w:top w:val="nil"/>
              <w:left w:val="nil"/>
              <w:bottom w:val="single" w:sz="4" w:space="0" w:color="auto"/>
              <w:right w:val="single" w:sz="4" w:space="0" w:color="auto"/>
            </w:tcBorders>
            <w:shd w:val="clear" w:color="auto" w:fill="auto"/>
            <w:noWrap/>
            <w:vAlign w:val="bottom"/>
            <w:hideMark/>
          </w:tcPr>
          <w:p w14:paraId="4D1FD830"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Vzhod</w:t>
            </w:r>
          </w:p>
        </w:tc>
        <w:tc>
          <w:tcPr>
            <w:tcW w:w="1761" w:type="dxa"/>
            <w:tcBorders>
              <w:top w:val="nil"/>
              <w:left w:val="nil"/>
              <w:bottom w:val="single" w:sz="4" w:space="0" w:color="auto"/>
              <w:right w:val="single" w:sz="4" w:space="0" w:color="auto"/>
            </w:tcBorders>
            <w:shd w:val="clear" w:color="auto" w:fill="auto"/>
            <w:noWrap/>
            <w:vAlign w:val="bottom"/>
            <w:hideMark/>
          </w:tcPr>
          <w:p w14:paraId="59B58633"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32.800.061</w:t>
            </w:r>
          </w:p>
        </w:tc>
        <w:tc>
          <w:tcPr>
            <w:tcW w:w="1557" w:type="dxa"/>
            <w:tcBorders>
              <w:top w:val="nil"/>
              <w:left w:val="nil"/>
              <w:bottom w:val="single" w:sz="4" w:space="0" w:color="auto"/>
              <w:right w:val="single" w:sz="4" w:space="0" w:color="auto"/>
            </w:tcBorders>
            <w:shd w:val="clear" w:color="auto" w:fill="auto"/>
            <w:noWrap/>
            <w:vAlign w:val="bottom"/>
            <w:hideMark/>
          </w:tcPr>
          <w:p w14:paraId="23EA276C"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68F72C5B"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516" w:type="dxa"/>
            <w:tcBorders>
              <w:top w:val="nil"/>
              <w:left w:val="nil"/>
              <w:bottom w:val="single" w:sz="4" w:space="0" w:color="auto"/>
              <w:right w:val="single" w:sz="4" w:space="0" w:color="auto"/>
            </w:tcBorders>
            <w:shd w:val="clear" w:color="auto" w:fill="auto"/>
            <w:noWrap/>
            <w:vAlign w:val="bottom"/>
            <w:hideMark/>
          </w:tcPr>
          <w:p w14:paraId="6D6D7BE4"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1C36DC0E"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637" w:type="dxa"/>
            <w:tcBorders>
              <w:top w:val="nil"/>
              <w:left w:val="nil"/>
              <w:bottom w:val="single" w:sz="4" w:space="0" w:color="auto"/>
              <w:right w:val="single" w:sz="4" w:space="0" w:color="auto"/>
            </w:tcBorders>
            <w:shd w:val="clear" w:color="auto" w:fill="auto"/>
            <w:noWrap/>
            <w:vAlign w:val="bottom"/>
            <w:hideMark/>
          </w:tcPr>
          <w:p w14:paraId="7FA4D33C"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71488FF1"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52" w:type="dxa"/>
            <w:vAlign w:val="center"/>
            <w:hideMark/>
          </w:tcPr>
          <w:p w14:paraId="07C7072B" w14:textId="77777777" w:rsidR="00377F4B" w:rsidRPr="0049644E" w:rsidRDefault="00377F4B" w:rsidP="00F65513">
            <w:pPr>
              <w:spacing w:line="240" w:lineRule="auto"/>
              <w:rPr>
                <w:rFonts w:cs="Arial"/>
                <w:szCs w:val="20"/>
                <w:lang w:eastAsia="sl-SI"/>
              </w:rPr>
            </w:pPr>
          </w:p>
        </w:tc>
      </w:tr>
      <w:tr w:rsidR="00377F4B" w:rsidRPr="0049644E" w14:paraId="047D7631" w14:textId="77777777" w:rsidTr="00F65513">
        <w:trPr>
          <w:trHeight w:val="270"/>
        </w:trPr>
        <w:tc>
          <w:tcPr>
            <w:tcW w:w="980" w:type="dxa"/>
            <w:vMerge/>
            <w:tcBorders>
              <w:top w:val="nil"/>
              <w:left w:val="single" w:sz="4" w:space="0" w:color="auto"/>
              <w:bottom w:val="single" w:sz="4" w:space="0" w:color="auto"/>
              <w:right w:val="single" w:sz="4" w:space="0" w:color="auto"/>
            </w:tcBorders>
            <w:vAlign w:val="center"/>
            <w:hideMark/>
          </w:tcPr>
          <w:p w14:paraId="0A4C1F47" w14:textId="77777777" w:rsidR="00377F4B" w:rsidRPr="0049644E" w:rsidRDefault="00377F4B" w:rsidP="00F65513">
            <w:pPr>
              <w:spacing w:line="240" w:lineRule="auto"/>
              <w:rPr>
                <w:rFonts w:cs="Arial"/>
                <w:color w:val="000000"/>
                <w:szCs w:val="20"/>
                <w:lang w:eastAsia="sl-SI"/>
              </w:rPr>
            </w:pPr>
          </w:p>
        </w:tc>
        <w:tc>
          <w:tcPr>
            <w:tcW w:w="983" w:type="dxa"/>
            <w:vMerge/>
            <w:tcBorders>
              <w:top w:val="nil"/>
              <w:left w:val="single" w:sz="4" w:space="0" w:color="auto"/>
              <w:bottom w:val="single" w:sz="4" w:space="0" w:color="auto"/>
              <w:right w:val="single" w:sz="4" w:space="0" w:color="auto"/>
            </w:tcBorders>
            <w:vAlign w:val="center"/>
            <w:hideMark/>
          </w:tcPr>
          <w:p w14:paraId="2558A775" w14:textId="77777777" w:rsidR="00377F4B" w:rsidRPr="0049644E" w:rsidRDefault="00377F4B" w:rsidP="00F65513">
            <w:pPr>
              <w:spacing w:line="240" w:lineRule="auto"/>
              <w:rPr>
                <w:rFonts w:cs="Arial"/>
                <w:color w:val="000000"/>
                <w:szCs w:val="20"/>
                <w:lang w:eastAsia="sl-SI"/>
              </w:rPr>
            </w:pPr>
          </w:p>
        </w:tc>
        <w:tc>
          <w:tcPr>
            <w:tcW w:w="981" w:type="dxa"/>
            <w:tcBorders>
              <w:top w:val="nil"/>
              <w:left w:val="nil"/>
              <w:bottom w:val="single" w:sz="4" w:space="0" w:color="auto"/>
              <w:right w:val="single" w:sz="4" w:space="0" w:color="auto"/>
            </w:tcBorders>
            <w:shd w:val="clear" w:color="auto" w:fill="auto"/>
            <w:noWrap/>
            <w:vAlign w:val="bottom"/>
            <w:hideMark/>
          </w:tcPr>
          <w:p w14:paraId="551D03FA"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ESS+</w:t>
            </w:r>
          </w:p>
        </w:tc>
        <w:tc>
          <w:tcPr>
            <w:tcW w:w="1148" w:type="dxa"/>
            <w:tcBorders>
              <w:top w:val="nil"/>
              <w:left w:val="nil"/>
              <w:bottom w:val="single" w:sz="4" w:space="0" w:color="auto"/>
              <w:right w:val="single" w:sz="4" w:space="0" w:color="auto"/>
            </w:tcBorders>
            <w:shd w:val="clear" w:color="auto" w:fill="auto"/>
            <w:noWrap/>
            <w:vAlign w:val="bottom"/>
            <w:hideMark/>
          </w:tcPr>
          <w:p w14:paraId="552E6ACE"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Zahod</w:t>
            </w:r>
          </w:p>
        </w:tc>
        <w:tc>
          <w:tcPr>
            <w:tcW w:w="1761" w:type="dxa"/>
            <w:tcBorders>
              <w:top w:val="nil"/>
              <w:left w:val="nil"/>
              <w:bottom w:val="single" w:sz="4" w:space="0" w:color="auto"/>
              <w:right w:val="single" w:sz="4" w:space="0" w:color="auto"/>
            </w:tcBorders>
            <w:shd w:val="clear" w:color="auto" w:fill="auto"/>
            <w:noWrap/>
            <w:vAlign w:val="bottom"/>
            <w:hideMark/>
          </w:tcPr>
          <w:p w14:paraId="70C44AA2"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90.053.283</w:t>
            </w:r>
          </w:p>
        </w:tc>
        <w:tc>
          <w:tcPr>
            <w:tcW w:w="1557" w:type="dxa"/>
            <w:tcBorders>
              <w:top w:val="nil"/>
              <w:left w:val="nil"/>
              <w:bottom w:val="single" w:sz="4" w:space="0" w:color="auto"/>
              <w:right w:val="single" w:sz="4" w:space="0" w:color="auto"/>
            </w:tcBorders>
            <w:shd w:val="clear" w:color="auto" w:fill="auto"/>
            <w:noWrap/>
            <w:vAlign w:val="bottom"/>
            <w:hideMark/>
          </w:tcPr>
          <w:p w14:paraId="357014F9"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37.184.343</w:t>
            </w:r>
          </w:p>
        </w:tc>
        <w:tc>
          <w:tcPr>
            <w:tcW w:w="981" w:type="dxa"/>
            <w:tcBorders>
              <w:top w:val="nil"/>
              <w:left w:val="nil"/>
              <w:bottom w:val="single" w:sz="4" w:space="0" w:color="auto"/>
              <w:right w:val="single" w:sz="4" w:space="0" w:color="auto"/>
            </w:tcBorders>
            <w:shd w:val="clear" w:color="auto" w:fill="auto"/>
            <w:noWrap/>
            <w:vAlign w:val="bottom"/>
            <w:hideMark/>
          </w:tcPr>
          <w:p w14:paraId="27E1727E"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41%</w:t>
            </w:r>
          </w:p>
        </w:tc>
        <w:tc>
          <w:tcPr>
            <w:tcW w:w="1516" w:type="dxa"/>
            <w:tcBorders>
              <w:top w:val="nil"/>
              <w:left w:val="nil"/>
              <w:bottom w:val="single" w:sz="4" w:space="0" w:color="auto"/>
              <w:right w:val="single" w:sz="4" w:space="0" w:color="auto"/>
            </w:tcBorders>
            <w:shd w:val="clear" w:color="auto" w:fill="auto"/>
            <w:noWrap/>
            <w:vAlign w:val="bottom"/>
            <w:hideMark/>
          </w:tcPr>
          <w:p w14:paraId="0EF2240B"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33.047.677</w:t>
            </w:r>
          </w:p>
        </w:tc>
        <w:tc>
          <w:tcPr>
            <w:tcW w:w="981" w:type="dxa"/>
            <w:tcBorders>
              <w:top w:val="nil"/>
              <w:left w:val="nil"/>
              <w:bottom w:val="single" w:sz="4" w:space="0" w:color="auto"/>
              <w:right w:val="single" w:sz="4" w:space="0" w:color="auto"/>
            </w:tcBorders>
            <w:shd w:val="clear" w:color="auto" w:fill="auto"/>
            <w:noWrap/>
            <w:vAlign w:val="bottom"/>
            <w:hideMark/>
          </w:tcPr>
          <w:p w14:paraId="7A5D6C6B"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37%</w:t>
            </w:r>
          </w:p>
        </w:tc>
        <w:tc>
          <w:tcPr>
            <w:tcW w:w="1637" w:type="dxa"/>
            <w:tcBorders>
              <w:top w:val="nil"/>
              <w:left w:val="nil"/>
              <w:bottom w:val="single" w:sz="4" w:space="0" w:color="auto"/>
              <w:right w:val="single" w:sz="4" w:space="0" w:color="auto"/>
            </w:tcBorders>
            <w:shd w:val="clear" w:color="auto" w:fill="auto"/>
            <w:noWrap/>
            <w:vAlign w:val="bottom"/>
            <w:hideMark/>
          </w:tcPr>
          <w:p w14:paraId="6D154E70"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2.571.239</w:t>
            </w:r>
          </w:p>
        </w:tc>
        <w:tc>
          <w:tcPr>
            <w:tcW w:w="981" w:type="dxa"/>
            <w:tcBorders>
              <w:top w:val="nil"/>
              <w:left w:val="nil"/>
              <w:bottom w:val="single" w:sz="4" w:space="0" w:color="auto"/>
              <w:right w:val="single" w:sz="4" w:space="0" w:color="auto"/>
            </w:tcBorders>
            <w:shd w:val="clear" w:color="auto" w:fill="auto"/>
            <w:noWrap/>
            <w:vAlign w:val="bottom"/>
            <w:hideMark/>
          </w:tcPr>
          <w:p w14:paraId="656F0B68"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w:t>
            </w:r>
          </w:p>
        </w:tc>
        <w:tc>
          <w:tcPr>
            <w:tcW w:w="152" w:type="dxa"/>
            <w:vAlign w:val="center"/>
            <w:hideMark/>
          </w:tcPr>
          <w:p w14:paraId="70158432" w14:textId="77777777" w:rsidR="00377F4B" w:rsidRPr="0049644E" w:rsidRDefault="00377F4B" w:rsidP="00F65513">
            <w:pPr>
              <w:spacing w:line="240" w:lineRule="auto"/>
              <w:rPr>
                <w:rFonts w:cs="Arial"/>
                <w:szCs w:val="20"/>
                <w:lang w:eastAsia="sl-SI"/>
              </w:rPr>
            </w:pPr>
          </w:p>
        </w:tc>
      </w:tr>
      <w:tr w:rsidR="00377F4B" w:rsidRPr="0049644E" w14:paraId="419BD716" w14:textId="77777777" w:rsidTr="00F65513">
        <w:trPr>
          <w:trHeight w:val="270"/>
        </w:trPr>
        <w:tc>
          <w:tcPr>
            <w:tcW w:w="980" w:type="dxa"/>
            <w:vMerge/>
            <w:tcBorders>
              <w:top w:val="nil"/>
              <w:left w:val="single" w:sz="4" w:space="0" w:color="auto"/>
              <w:bottom w:val="single" w:sz="4" w:space="0" w:color="auto"/>
              <w:right w:val="single" w:sz="4" w:space="0" w:color="auto"/>
            </w:tcBorders>
            <w:vAlign w:val="center"/>
            <w:hideMark/>
          </w:tcPr>
          <w:p w14:paraId="5C2BEB60" w14:textId="77777777" w:rsidR="00377F4B" w:rsidRPr="0049644E" w:rsidRDefault="00377F4B" w:rsidP="00F65513">
            <w:pPr>
              <w:spacing w:line="240" w:lineRule="auto"/>
              <w:rPr>
                <w:rFonts w:cs="Arial"/>
                <w:color w:val="000000"/>
                <w:szCs w:val="20"/>
                <w:lang w:eastAsia="sl-SI"/>
              </w:rPr>
            </w:pPr>
          </w:p>
        </w:tc>
        <w:tc>
          <w:tcPr>
            <w:tcW w:w="983" w:type="dxa"/>
            <w:vMerge/>
            <w:tcBorders>
              <w:top w:val="nil"/>
              <w:left w:val="single" w:sz="4" w:space="0" w:color="auto"/>
              <w:bottom w:val="single" w:sz="4" w:space="0" w:color="auto"/>
              <w:right w:val="single" w:sz="4" w:space="0" w:color="auto"/>
            </w:tcBorders>
            <w:vAlign w:val="center"/>
            <w:hideMark/>
          </w:tcPr>
          <w:p w14:paraId="1BF196D9" w14:textId="77777777" w:rsidR="00377F4B" w:rsidRPr="0049644E" w:rsidRDefault="00377F4B" w:rsidP="00F65513">
            <w:pPr>
              <w:spacing w:line="240" w:lineRule="auto"/>
              <w:rPr>
                <w:rFonts w:cs="Arial"/>
                <w:color w:val="000000"/>
                <w:szCs w:val="20"/>
                <w:lang w:eastAsia="sl-SI"/>
              </w:rPr>
            </w:pPr>
          </w:p>
        </w:tc>
        <w:tc>
          <w:tcPr>
            <w:tcW w:w="981" w:type="dxa"/>
            <w:tcBorders>
              <w:top w:val="nil"/>
              <w:left w:val="nil"/>
              <w:bottom w:val="single" w:sz="4" w:space="0" w:color="auto"/>
              <w:right w:val="single" w:sz="4" w:space="0" w:color="auto"/>
            </w:tcBorders>
            <w:shd w:val="clear" w:color="auto" w:fill="auto"/>
            <w:noWrap/>
            <w:vAlign w:val="bottom"/>
            <w:hideMark/>
          </w:tcPr>
          <w:p w14:paraId="1E34B590"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ESS+</w:t>
            </w:r>
          </w:p>
        </w:tc>
        <w:tc>
          <w:tcPr>
            <w:tcW w:w="1148" w:type="dxa"/>
            <w:tcBorders>
              <w:top w:val="nil"/>
              <w:left w:val="nil"/>
              <w:bottom w:val="single" w:sz="4" w:space="0" w:color="auto"/>
              <w:right w:val="single" w:sz="4" w:space="0" w:color="auto"/>
            </w:tcBorders>
            <w:shd w:val="clear" w:color="auto" w:fill="auto"/>
            <w:noWrap/>
            <w:vAlign w:val="bottom"/>
            <w:hideMark/>
          </w:tcPr>
          <w:p w14:paraId="672607AA"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Vzhod</w:t>
            </w:r>
          </w:p>
        </w:tc>
        <w:tc>
          <w:tcPr>
            <w:tcW w:w="1761" w:type="dxa"/>
            <w:tcBorders>
              <w:top w:val="nil"/>
              <w:left w:val="nil"/>
              <w:bottom w:val="single" w:sz="4" w:space="0" w:color="auto"/>
              <w:right w:val="single" w:sz="4" w:space="0" w:color="auto"/>
            </w:tcBorders>
            <w:shd w:val="clear" w:color="auto" w:fill="auto"/>
            <w:noWrap/>
            <w:vAlign w:val="bottom"/>
            <w:hideMark/>
          </w:tcPr>
          <w:p w14:paraId="3900E0FF"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316.570.521</w:t>
            </w:r>
          </w:p>
        </w:tc>
        <w:tc>
          <w:tcPr>
            <w:tcW w:w="1557" w:type="dxa"/>
            <w:tcBorders>
              <w:top w:val="nil"/>
              <w:left w:val="nil"/>
              <w:bottom w:val="single" w:sz="4" w:space="0" w:color="auto"/>
              <w:right w:val="single" w:sz="4" w:space="0" w:color="auto"/>
            </w:tcBorders>
            <w:shd w:val="clear" w:color="auto" w:fill="auto"/>
            <w:noWrap/>
            <w:vAlign w:val="bottom"/>
            <w:hideMark/>
          </w:tcPr>
          <w:p w14:paraId="71C4611D"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174.290.038</w:t>
            </w:r>
          </w:p>
        </w:tc>
        <w:tc>
          <w:tcPr>
            <w:tcW w:w="981" w:type="dxa"/>
            <w:tcBorders>
              <w:top w:val="nil"/>
              <w:left w:val="nil"/>
              <w:bottom w:val="single" w:sz="4" w:space="0" w:color="auto"/>
              <w:right w:val="single" w:sz="4" w:space="0" w:color="auto"/>
            </w:tcBorders>
            <w:shd w:val="clear" w:color="auto" w:fill="auto"/>
            <w:noWrap/>
            <w:vAlign w:val="bottom"/>
            <w:hideMark/>
          </w:tcPr>
          <w:p w14:paraId="15CE8482"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55%</w:t>
            </w:r>
          </w:p>
        </w:tc>
        <w:tc>
          <w:tcPr>
            <w:tcW w:w="1516" w:type="dxa"/>
            <w:tcBorders>
              <w:top w:val="nil"/>
              <w:left w:val="nil"/>
              <w:bottom w:val="single" w:sz="4" w:space="0" w:color="auto"/>
              <w:right w:val="single" w:sz="4" w:space="0" w:color="auto"/>
            </w:tcBorders>
            <w:shd w:val="clear" w:color="auto" w:fill="auto"/>
            <w:noWrap/>
            <w:vAlign w:val="bottom"/>
            <w:hideMark/>
          </w:tcPr>
          <w:p w14:paraId="2EBE2327"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169.476.430</w:t>
            </w:r>
          </w:p>
        </w:tc>
        <w:tc>
          <w:tcPr>
            <w:tcW w:w="981" w:type="dxa"/>
            <w:tcBorders>
              <w:top w:val="nil"/>
              <w:left w:val="nil"/>
              <w:bottom w:val="single" w:sz="4" w:space="0" w:color="auto"/>
              <w:right w:val="single" w:sz="4" w:space="0" w:color="auto"/>
            </w:tcBorders>
            <w:shd w:val="clear" w:color="auto" w:fill="auto"/>
            <w:noWrap/>
            <w:vAlign w:val="bottom"/>
            <w:hideMark/>
          </w:tcPr>
          <w:p w14:paraId="4F576449"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54%</w:t>
            </w:r>
          </w:p>
        </w:tc>
        <w:tc>
          <w:tcPr>
            <w:tcW w:w="1637" w:type="dxa"/>
            <w:tcBorders>
              <w:top w:val="nil"/>
              <w:left w:val="nil"/>
              <w:bottom w:val="single" w:sz="4" w:space="0" w:color="auto"/>
              <w:right w:val="single" w:sz="4" w:space="0" w:color="auto"/>
            </w:tcBorders>
            <w:shd w:val="clear" w:color="auto" w:fill="auto"/>
            <w:noWrap/>
            <w:vAlign w:val="bottom"/>
            <w:hideMark/>
          </w:tcPr>
          <w:p w14:paraId="66AF2B8B"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8.669.772</w:t>
            </w:r>
          </w:p>
        </w:tc>
        <w:tc>
          <w:tcPr>
            <w:tcW w:w="981" w:type="dxa"/>
            <w:tcBorders>
              <w:top w:val="nil"/>
              <w:left w:val="nil"/>
              <w:bottom w:val="single" w:sz="4" w:space="0" w:color="auto"/>
              <w:right w:val="single" w:sz="4" w:space="0" w:color="auto"/>
            </w:tcBorders>
            <w:shd w:val="clear" w:color="auto" w:fill="auto"/>
            <w:noWrap/>
            <w:vAlign w:val="bottom"/>
            <w:hideMark/>
          </w:tcPr>
          <w:p w14:paraId="69266A55"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w:t>
            </w:r>
          </w:p>
        </w:tc>
        <w:tc>
          <w:tcPr>
            <w:tcW w:w="152" w:type="dxa"/>
            <w:vAlign w:val="center"/>
            <w:hideMark/>
          </w:tcPr>
          <w:p w14:paraId="01CA1BDE" w14:textId="77777777" w:rsidR="00377F4B" w:rsidRPr="0049644E" w:rsidRDefault="00377F4B" w:rsidP="00F65513">
            <w:pPr>
              <w:spacing w:line="240" w:lineRule="auto"/>
              <w:rPr>
                <w:rFonts w:cs="Arial"/>
                <w:szCs w:val="20"/>
                <w:lang w:eastAsia="sl-SI"/>
              </w:rPr>
            </w:pPr>
          </w:p>
        </w:tc>
      </w:tr>
      <w:tr w:rsidR="00377F4B" w:rsidRPr="0049644E" w14:paraId="123D9207" w14:textId="77777777" w:rsidTr="00F65513">
        <w:trPr>
          <w:trHeight w:val="270"/>
        </w:trPr>
        <w:tc>
          <w:tcPr>
            <w:tcW w:w="980" w:type="dxa"/>
            <w:vMerge/>
            <w:tcBorders>
              <w:top w:val="nil"/>
              <w:left w:val="single" w:sz="4" w:space="0" w:color="auto"/>
              <w:bottom w:val="single" w:sz="4" w:space="0" w:color="auto"/>
              <w:right w:val="single" w:sz="4" w:space="0" w:color="auto"/>
            </w:tcBorders>
            <w:vAlign w:val="center"/>
            <w:hideMark/>
          </w:tcPr>
          <w:p w14:paraId="12972CC2" w14:textId="77777777" w:rsidR="00377F4B" w:rsidRPr="0049644E" w:rsidRDefault="00377F4B" w:rsidP="00F65513">
            <w:pPr>
              <w:spacing w:line="240" w:lineRule="auto"/>
              <w:rPr>
                <w:rFonts w:cs="Arial"/>
                <w:color w:val="000000"/>
                <w:szCs w:val="20"/>
                <w:lang w:eastAsia="sl-SI"/>
              </w:rPr>
            </w:pPr>
          </w:p>
        </w:tc>
        <w:tc>
          <w:tcPr>
            <w:tcW w:w="983" w:type="dxa"/>
            <w:vMerge w:val="restart"/>
            <w:tcBorders>
              <w:top w:val="nil"/>
              <w:left w:val="single" w:sz="4" w:space="0" w:color="auto"/>
              <w:bottom w:val="single" w:sz="4" w:space="0" w:color="auto"/>
              <w:right w:val="single" w:sz="4" w:space="0" w:color="auto"/>
            </w:tcBorders>
            <w:shd w:val="clear" w:color="auto" w:fill="auto"/>
            <w:noWrap/>
            <w:hideMark/>
          </w:tcPr>
          <w:p w14:paraId="4C9CB6B6"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7</w:t>
            </w:r>
          </w:p>
        </w:tc>
        <w:tc>
          <w:tcPr>
            <w:tcW w:w="981" w:type="dxa"/>
            <w:tcBorders>
              <w:top w:val="nil"/>
              <w:left w:val="nil"/>
              <w:bottom w:val="single" w:sz="4" w:space="0" w:color="auto"/>
              <w:right w:val="single" w:sz="4" w:space="0" w:color="auto"/>
            </w:tcBorders>
            <w:shd w:val="clear" w:color="auto" w:fill="auto"/>
            <w:noWrap/>
            <w:vAlign w:val="bottom"/>
            <w:hideMark/>
          </w:tcPr>
          <w:p w14:paraId="331A52B6"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ESRR</w:t>
            </w:r>
          </w:p>
        </w:tc>
        <w:tc>
          <w:tcPr>
            <w:tcW w:w="1148" w:type="dxa"/>
            <w:tcBorders>
              <w:top w:val="nil"/>
              <w:left w:val="nil"/>
              <w:bottom w:val="single" w:sz="4" w:space="0" w:color="auto"/>
              <w:right w:val="single" w:sz="4" w:space="0" w:color="auto"/>
            </w:tcBorders>
            <w:shd w:val="clear" w:color="auto" w:fill="auto"/>
            <w:noWrap/>
            <w:vAlign w:val="bottom"/>
            <w:hideMark/>
          </w:tcPr>
          <w:p w14:paraId="13E3EDDB"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Vzhod</w:t>
            </w:r>
          </w:p>
        </w:tc>
        <w:tc>
          <w:tcPr>
            <w:tcW w:w="1761" w:type="dxa"/>
            <w:tcBorders>
              <w:top w:val="nil"/>
              <w:left w:val="nil"/>
              <w:bottom w:val="single" w:sz="4" w:space="0" w:color="auto"/>
              <w:right w:val="single" w:sz="4" w:space="0" w:color="auto"/>
            </w:tcBorders>
            <w:shd w:val="clear" w:color="auto" w:fill="auto"/>
            <w:noWrap/>
            <w:vAlign w:val="bottom"/>
            <w:hideMark/>
          </w:tcPr>
          <w:p w14:paraId="2A28A6F4"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77.430.000</w:t>
            </w:r>
          </w:p>
        </w:tc>
        <w:tc>
          <w:tcPr>
            <w:tcW w:w="1557" w:type="dxa"/>
            <w:tcBorders>
              <w:top w:val="nil"/>
              <w:left w:val="nil"/>
              <w:bottom w:val="single" w:sz="4" w:space="0" w:color="auto"/>
              <w:right w:val="single" w:sz="4" w:space="0" w:color="auto"/>
            </w:tcBorders>
            <w:shd w:val="clear" w:color="auto" w:fill="auto"/>
            <w:noWrap/>
            <w:vAlign w:val="bottom"/>
            <w:hideMark/>
          </w:tcPr>
          <w:p w14:paraId="7499A18C"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44D77FEE"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516" w:type="dxa"/>
            <w:tcBorders>
              <w:top w:val="nil"/>
              <w:left w:val="nil"/>
              <w:bottom w:val="single" w:sz="4" w:space="0" w:color="auto"/>
              <w:right w:val="single" w:sz="4" w:space="0" w:color="auto"/>
            </w:tcBorders>
            <w:shd w:val="clear" w:color="auto" w:fill="auto"/>
            <w:noWrap/>
            <w:vAlign w:val="bottom"/>
            <w:hideMark/>
          </w:tcPr>
          <w:p w14:paraId="1A53A1E8"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15770FF5"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637" w:type="dxa"/>
            <w:tcBorders>
              <w:top w:val="nil"/>
              <w:left w:val="nil"/>
              <w:bottom w:val="single" w:sz="4" w:space="0" w:color="auto"/>
              <w:right w:val="single" w:sz="4" w:space="0" w:color="auto"/>
            </w:tcBorders>
            <w:shd w:val="clear" w:color="auto" w:fill="auto"/>
            <w:noWrap/>
            <w:vAlign w:val="bottom"/>
            <w:hideMark/>
          </w:tcPr>
          <w:p w14:paraId="13ABF935"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47841981"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52" w:type="dxa"/>
            <w:vAlign w:val="center"/>
            <w:hideMark/>
          </w:tcPr>
          <w:p w14:paraId="31D34CFF" w14:textId="77777777" w:rsidR="00377F4B" w:rsidRPr="0049644E" w:rsidRDefault="00377F4B" w:rsidP="00F65513">
            <w:pPr>
              <w:spacing w:line="240" w:lineRule="auto"/>
              <w:rPr>
                <w:rFonts w:cs="Arial"/>
                <w:szCs w:val="20"/>
                <w:lang w:eastAsia="sl-SI"/>
              </w:rPr>
            </w:pPr>
          </w:p>
        </w:tc>
      </w:tr>
      <w:tr w:rsidR="00377F4B" w:rsidRPr="0049644E" w14:paraId="02CD75DC" w14:textId="77777777" w:rsidTr="00F65513">
        <w:trPr>
          <w:trHeight w:val="270"/>
        </w:trPr>
        <w:tc>
          <w:tcPr>
            <w:tcW w:w="980" w:type="dxa"/>
            <w:vMerge/>
            <w:tcBorders>
              <w:top w:val="nil"/>
              <w:left w:val="single" w:sz="4" w:space="0" w:color="auto"/>
              <w:bottom w:val="single" w:sz="4" w:space="0" w:color="auto"/>
              <w:right w:val="single" w:sz="4" w:space="0" w:color="auto"/>
            </w:tcBorders>
            <w:vAlign w:val="center"/>
            <w:hideMark/>
          </w:tcPr>
          <w:p w14:paraId="5F17E3A5" w14:textId="77777777" w:rsidR="00377F4B" w:rsidRPr="0049644E" w:rsidRDefault="00377F4B" w:rsidP="00F65513">
            <w:pPr>
              <w:spacing w:line="240" w:lineRule="auto"/>
              <w:rPr>
                <w:rFonts w:cs="Arial"/>
                <w:color w:val="000000"/>
                <w:szCs w:val="20"/>
                <w:lang w:eastAsia="sl-SI"/>
              </w:rPr>
            </w:pPr>
          </w:p>
        </w:tc>
        <w:tc>
          <w:tcPr>
            <w:tcW w:w="983" w:type="dxa"/>
            <w:vMerge/>
            <w:tcBorders>
              <w:top w:val="nil"/>
              <w:left w:val="single" w:sz="4" w:space="0" w:color="auto"/>
              <w:bottom w:val="single" w:sz="4" w:space="0" w:color="auto"/>
              <w:right w:val="single" w:sz="4" w:space="0" w:color="auto"/>
            </w:tcBorders>
            <w:vAlign w:val="center"/>
            <w:hideMark/>
          </w:tcPr>
          <w:p w14:paraId="32850743" w14:textId="77777777" w:rsidR="00377F4B" w:rsidRPr="0049644E" w:rsidRDefault="00377F4B" w:rsidP="00F65513">
            <w:pPr>
              <w:spacing w:line="240" w:lineRule="auto"/>
              <w:rPr>
                <w:rFonts w:cs="Arial"/>
                <w:color w:val="000000"/>
                <w:szCs w:val="20"/>
                <w:lang w:eastAsia="sl-SI"/>
              </w:rPr>
            </w:pPr>
          </w:p>
        </w:tc>
        <w:tc>
          <w:tcPr>
            <w:tcW w:w="981" w:type="dxa"/>
            <w:tcBorders>
              <w:top w:val="nil"/>
              <w:left w:val="nil"/>
              <w:bottom w:val="single" w:sz="4" w:space="0" w:color="auto"/>
              <w:right w:val="single" w:sz="4" w:space="0" w:color="auto"/>
            </w:tcBorders>
            <w:shd w:val="clear" w:color="auto" w:fill="auto"/>
            <w:noWrap/>
            <w:vAlign w:val="bottom"/>
            <w:hideMark/>
          </w:tcPr>
          <w:p w14:paraId="34745268"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ESS+</w:t>
            </w:r>
          </w:p>
        </w:tc>
        <w:tc>
          <w:tcPr>
            <w:tcW w:w="1148" w:type="dxa"/>
            <w:tcBorders>
              <w:top w:val="nil"/>
              <w:left w:val="nil"/>
              <w:bottom w:val="single" w:sz="4" w:space="0" w:color="auto"/>
              <w:right w:val="single" w:sz="4" w:space="0" w:color="auto"/>
            </w:tcBorders>
            <w:shd w:val="clear" w:color="auto" w:fill="auto"/>
            <w:noWrap/>
            <w:vAlign w:val="bottom"/>
            <w:hideMark/>
          </w:tcPr>
          <w:p w14:paraId="6D8A3B0B"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Zahod</w:t>
            </w:r>
          </w:p>
        </w:tc>
        <w:tc>
          <w:tcPr>
            <w:tcW w:w="1761" w:type="dxa"/>
            <w:tcBorders>
              <w:top w:val="nil"/>
              <w:left w:val="nil"/>
              <w:bottom w:val="single" w:sz="4" w:space="0" w:color="auto"/>
              <w:right w:val="single" w:sz="4" w:space="0" w:color="auto"/>
            </w:tcBorders>
            <w:shd w:val="clear" w:color="auto" w:fill="auto"/>
            <w:noWrap/>
            <w:vAlign w:val="bottom"/>
            <w:hideMark/>
          </w:tcPr>
          <w:p w14:paraId="6B07F7F9"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52.054.000</w:t>
            </w:r>
          </w:p>
        </w:tc>
        <w:tc>
          <w:tcPr>
            <w:tcW w:w="1557" w:type="dxa"/>
            <w:tcBorders>
              <w:top w:val="nil"/>
              <w:left w:val="nil"/>
              <w:bottom w:val="single" w:sz="4" w:space="0" w:color="auto"/>
              <w:right w:val="single" w:sz="4" w:space="0" w:color="auto"/>
            </w:tcBorders>
            <w:shd w:val="clear" w:color="auto" w:fill="auto"/>
            <w:noWrap/>
            <w:vAlign w:val="bottom"/>
            <w:hideMark/>
          </w:tcPr>
          <w:p w14:paraId="2BC109B6"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13.532.662</w:t>
            </w:r>
          </w:p>
        </w:tc>
        <w:tc>
          <w:tcPr>
            <w:tcW w:w="981" w:type="dxa"/>
            <w:tcBorders>
              <w:top w:val="nil"/>
              <w:left w:val="nil"/>
              <w:bottom w:val="single" w:sz="4" w:space="0" w:color="auto"/>
              <w:right w:val="single" w:sz="4" w:space="0" w:color="auto"/>
            </w:tcBorders>
            <w:shd w:val="clear" w:color="auto" w:fill="auto"/>
            <w:noWrap/>
            <w:vAlign w:val="bottom"/>
            <w:hideMark/>
          </w:tcPr>
          <w:p w14:paraId="279E6781"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26%</w:t>
            </w:r>
          </w:p>
        </w:tc>
        <w:tc>
          <w:tcPr>
            <w:tcW w:w="1516" w:type="dxa"/>
            <w:tcBorders>
              <w:top w:val="nil"/>
              <w:left w:val="nil"/>
              <w:bottom w:val="single" w:sz="4" w:space="0" w:color="auto"/>
              <w:right w:val="single" w:sz="4" w:space="0" w:color="auto"/>
            </w:tcBorders>
            <w:shd w:val="clear" w:color="auto" w:fill="auto"/>
            <w:noWrap/>
            <w:vAlign w:val="bottom"/>
            <w:hideMark/>
          </w:tcPr>
          <w:p w14:paraId="02F59848"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11.106.499</w:t>
            </w:r>
          </w:p>
        </w:tc>
        <w:tc>
          <w:tcPr>
            <w:tcW w:w="981" w:type="dxa"/>
            <w:tcBorders>
              <w:top w:val="nil"/>
              <w:left w:val="nil"/>
              <w:bottom w:val="single" w:sz="4" w:space="0" w:color="auto"/>
              <w:right w:val="single" w:sz="4" w:space="0" w:color="auto"/>
            </w:tcBorders>
            <w:shd w:val="clear" w:color="auto" w:fill="auto"/>
            <w:noWrap/>
            <w:vAlign w:val="bottom"/>
            <w:hideMark/>
          </w:tcPr>
          <w:p w14:paraId="22DFC286"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21%</w:t>
            </w:r>
          </w:p>
        </w:tc>
        <w:tc>
          <w:tcPr>
            <w:tcW w:w="1637" w:type="dxa"/>
            <w:tcBorders>
              <w:top w:val="nil"/>
              <w:left w:val="nil"/>
              <w:bottom w:val="single" w:sz="4" w:space="0" w:color="auto"/>
              <w:right w:val="single" w:sz="4" w:space="0" w:color="auto"/>
            </w:tcBorders>
            <w:shd w:val="clear" w:color="auto" w:fill="auto"/>
            <w:noWrap/>
            <w:vAlign w:val="bottom"/>
            <w:hideMark/>
          </w:tcPr>
          <w:p w14:paraId="7D364347"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964.559</w:t>
            </w:r>
          </w:p>
        </w:tc>
        <w:tc>
          <w:tcPr>
            <w:tcW w:w="981" w:type="dxa"/>
            <w:tcBorders>
              <w:top w:val="nil"/>
              <w:left w:val="nil"/>
              <w:bottom w:val="single" w:sz="4" w:space="0" w:color="auto"/>
              <w:right w:val="single" w:sz="4" w:space="0" w:color="auto"/>
            </w:tcBorders>
            <w:shd w:val="clear" w:color="auto" w:fill="auto"/>
            <w:noWrap/>
            <w:vAlign w:val="bottom"/>
            <w:hideMark/>
          </w:tcPr>
          <w:p w14:paraId="25BFFF45"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2%</w:t>
            </w:r>
          </w:p>
        </w:tc>
        <w:tc>
          <w:tcPr>
            <w:tcW w:w="152" w:type="dxa"/>
            <w:vAlign w:val="center"/>
            <w:hideMark/>
          </w:tcPr>
          <w:p w14:paraId="51B0B2F0" w14:textId="77777777" w:rsidR="00377F4B" w:rsidRPr="0049644E" w:rsidRDefault="00377F4B" w:rsidP="00F65513">
            <w:pPr>
              <w:spacing w:line="240" w:lineRule="auto"/>
              <w:rPr>
                <w:rFonts w:cs="Arial"/>
                <w:szCs w:val="20"/>
                <w:lang w:eastAsia="sl-SI"/>
              </w:rPr>
            </w:pPr>
          </w:p>
        </w:tc>
      </w:tr>
      <w:tr w:rsidR="00377F4B" w:rsidRPr="0049644E" w14:paraId="3C3AA42F" w14:textId="77777777" w:rsidTr="00F65513">
        <w:trPr>
          <w:trHeight w:val="270"/>
        </w:trPr>
        <w:tc>
          <w:tcPr>
            <w:tcW w:w="980" w:type="dxa"/>
            <w:vMerge/>
            <w:tcBorders>
              <w:top w:val="nil"/>
              <w:left w:val="single" w:sz="4" w:space="0" w:color="auto"/>
              <w:bottom w:val="single" w:sz="4" w:space="0" w:color="auto"/>
              <w:right w:val="single" w:sz="4" w:space="0" w:color="auto"/>
            </w:tcBorders>
            <w:vAlign w:val="center"/>
            <w:hideMark/>
          </w:tcPr>
          <w:p w14:paraId="1F2F3624" w14:textId="77777777" w:rsidR="00377F4B" w:rsidRPr="0049644E" w:rsidRDefault="00377F4B" w:rsidP="00F65513">
            <w:pPr>
              <w:spacing w:line="240" w:lineRule="auto"/>
              <w:rPr>
                <w:rFonts w:cs="Arial"/>
                <w:color w:val="000000"/>
                <w:szCs w:val="20"/>
                <w:lang w:eastAsia="sl-SI"/>
              </w:rPr>
            </w:pPr>
          </w:p>
        </w:tc>
        <w:tc>
          <w:tcPr>
            <w:tcW w:w="983" w:type="dxa"/>
            <w:vMerge/>
            <w:tcBorders>
              <w:top w:val="nil"/>
              <w:left w:val="single" w:sz="4" w:space="0" w:color="auto"/>
              <w:bottom w:val="single" w:sz="4" w:space="0" w:color="auto"/>
              <w:right w:val="single" w:sz="4" w:space="0" w:color="auto"/>
            </w:tcBorders>
            <w:vAlign w:val="center"/>
            <w:hideMark/>
          </w:tcPr>
          <w:p w14:paraId="713CC5EA" w14:textId="77777777" w:rsidR="00377F4B" w:rsidRPr="0049644E" w:rsidRDefault="00377F4B" w:rsidP="00F65513">
            <w:pPr>
              <w:spacing w:line="240" w:lineRule="auto"/>
              <w:rPr>
                <w:rFonts w:cs="Arial"/>
                <w:color w:val="000000"/>
                <w:szCs w:val="20"/>
                <w:lang w:eastAsia="sl-SI"/>
              </w:rPr>
            </w:pPr>
          </w:p>
        </w:tc>
        <w:tc>
          <w:tcPr>
            <w:tcW w:w="981" w:type="dxa"/>
            <w:tcBorders>
              <w:top w:val="nil"/>
              <w:left w:val="nil"/>
              <w:bottom w:val="single" w:sz="4" w:space="0" w:color="auto"/>
              <w:right w:val="single" w:sz="4" w:space="0" w:color="auto"/>
            </w:tcBorders>
            <w:shd w:val="clear" w:color="auto" w:fill="auto"/>
            <w:noWrap/>
            <w:vAlign w:val="bottom"/>
            <w:hideMark/>
          </w:tcPr>
          <w:p w14:paraId="438193C0"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ESS+</w:t>
            </w:r>
          </w:p>
        </w:tc>
        <w:tc>
          <w:tcPr>
            <w:tcW w:w="1148" w:type="dxa"/>
            <w:tcBorders>
              <w:top w:val="nil"/>
              <w:left w:val="nil"/>
              <w:bottom w:val="single" w:sz="4" w:space="0" w:color="auto"/>
              <w:right w:val="single" w:sz="4" w:space="0" w:color="auto"/>
            </w:tcBorders>
            <w:shd w:val="clear" w:color="auto" w:fill="auto"/>
            <w:noWrap/>
            <w:vAlign w:val="bottom"/>
            <w:hideMark/>
          </w:tcPr>
          <w:p w14:paraId="5D0DFC66"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Vzhod</w:t>
            </w:r>
          </w:p>
        </w:tc>
        <w:tc>
          <w:tcPr>
            <w:tcW w:w="1761" w:type="dxa"/>
            <w:tcBorders>
              <w:top w:val="nil"/>
              <w:left w:val="nil"/>
              <w:bottom w:val="single" w:sz="4" w:space="0" w:color="auto"/>
              <w:right w:val="single" w:sz="4" w:space="0" w:color="auto"/>
            </w:tcBorders>
            <w:shd w:val="clear" w:color="auto" w:fill="auto"/>
            <w:noWrap/>
            <w:vAlign w:val="bottom"/>
            <w:hideMark/>
          </w:tcPr>
          <w:p w14:paraId="7C98B21D"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152.827.001</w:t>
            </w:r>
          </w:p>
        </w:tc>
        <w:tc>
          <w:tcPr>
            <w:tcW w:w="1557" w:type="dxa"/>
            <w:tcBorders>
              <w:top w:val="nil"/>
              <w:left w:val="nil"/>
              <w:bottom w:val="single" w:sz="4" w:space="0" w:color="auto"/>
              <w:right w:val="single" w:sz="4" w:space="0" w:color="auto"/>
            </w:tcBorders>
            <w:shd w:val="clear" w:color="auto" w:fill="auto"/>
            <w:noWrap/>
            <w:vAlign w:val="bottom"/>
            <w:hideMark/>
          </w:tcPr>
          <w:p w14:paraId="08F5F34E"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59.054.606</w:t>
            </w:r>
          </w:p>
        </w:tc>
        <w:tc>
          <w:tcPr>
            <w:tcW w:w="981" w:type="dxa"/>
            <w:tcBorders>
              <w:top w:val="nil"/>
              <w:left w:val="nil"/>
              <w:bottom w:val="single" w:sz="4" w:space="0" w:color="auto"/>
              <w:right w:val="single" w:sz="4" w:space="0" w:color="auto"/>
            </w:tcBorders>
            <w:shd w:val="clear" w:color="auto" w:fill="auto"/>
            <w:noWrap/>
            <w:vAlign w:val="bottom"/>
            <w:hideMark/>
          </w:tcPr>
          <w:p w14:paraId="5E83B90C"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39%</w:t>
            </w:r>
          </w:p>
        </w:tc>
        <w:tc>
          <w:tcPr>
            <w:tcW w:w="1516" w:type="dxa"/>
            <w:tcBorders>
              <w:top w:val="nil"/>
              <w:left w:val="nil"/>
              <w:bottom w:val="single" w:sz="4" w:space="0" w:color="auto"/>
              <w:right w:val="single" w:sz="4" w:space="0" w:color="auto"/>
            </w:tcBorders>
            <w:shd w:val="clear" w:color="auto" w:fill="auto"/>
            <w:noWrap/>
            <w:vAlign w:val="bottom"/>
            <w:hideMark/>
          </w:tcPr>
          <w:p w14:paraId="7E5EE6A9"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52.532.307</w:t>
            </w:r>
          </w:p>
        </w:tc>
        <w:tc>
          <w:tcPr>
            <w:tcW w:w="981" w:type="dxa"/>
            <w:tcBorders>
              <w:top w:val="nil"/>
              <w:left w:val="nil"/>
              <w:bottom w:val="single" w:sz="4" w:space="0" w:color="auto"/>
              <w:right w:val="single" w:sz="4" w:space="0" w:color="auto"/>
            </w:tcBorders>
            <w:shd w:val="clear" w:color="auto" w:fill="auto"/>
            <w:noWrap/>
            <w:vAlign w:val="bottom"/>
            <w:hideMark/>
          </w:tcPr>
          <w:p w14:paraId="19C3D16A"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34%</w:t>
            </w:r>
          </w:p>
        </w:tc>
        <w:tc>
          <w:tcPr>
            <w:tcW w:w="1637" w:type="dxa"/>
            <w:tcBorders>
              <w:top w:val="nil"/>
              <w:left w:val="nil"/>
              <w:bottom w:val="single" w:sz="4" w:space="0" w:color="auto"/>
              <w:right w:val="single" w:sz="4" w:space="0" w:color="auto"/>
            </w:tcBorders>
            <w:shd w:val="clear" w:color="auto" w:fill="auto"/>
            <w:noWrap/>
            <w:vAlign w:val="bottom"/>
            <w:hideMark/>
          </w:tcPr>
          <w:p w14:paraId="08459844"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4.847.834</w:t>
            </w:r>
          </w:p>
        </w:tc>
        <w:tc>
          <w:tcPr>
            <w:tcW w:w="981" w:type="dxa"/>
            <w:tcBorders>
              <w:top w:val="nil"/>
              <w:left w:val="nil"/>
              <w:bottom w:val="single" w:sz="4" w:space="0" w:color="auto"/>
              <w:right w:val="single" w:sz="4" w:space="0" w:color="auto"/>
            </w:tcBorders>
            <w:shd w:val="clear" w:color="auto" w:fill="auto"/>
            <w:noWrap/>
            <w:vAlign w:val="bottom"/>
            <w:hideMark/>
          </w:tcPr>
          <w:p w14:paraId="70EF2A7D"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w:t>
            </w:r>
          </w:p>
        </w:tc>
        <w:tc>
          <w:tcPr>
            <w:tcW w:w="152" w:type="dxa"/>
            <w:vAlign w:val="center"/>
            <w:hideMark/>
          </w:tcPr>
          <w:p w14:paraId="223DE9AF" w14:textId="77777777" w:rsidR="00377F4B" w:rsidRPr="0049644E" w:rsidRDefault="00377F4B" w:rsidP="00F65513">
            <w:pPr>
              <w:spacing w:line="240" w:lineRule="auto"/>
              <w:rPr>
                <w:rFonts w:cs="Arial"/>
                <w:szCs w:val="20"/>
                <w:lang w:eastAsia="sl-SI"/>
              </w:rPr>
            </w:pPr>
          </w:p>
        </w:tc>
      </w:tr>
      <w:tr w:rsidR="00377F4B" w:rsidRPr="0049644E" w14:paraId="22064290" w14:textId="77777777" w:rsidTr="00F65513">
        <w:trPr>
          <w:trHeight w:val="270"/>
        </w:trPr>
        <w:tc>
          <w:tcPr>
            <w:tcW w:w="980" w:type="dxa"/>
            <w:vMerge/>
            <w:tcBorders>
              <w:top w:val="nil"/>
              <w:left w:val="single" w:sz="4" w:space="0" w:color="auto"/>
              <w:bottom w:val="single" w:sz="4" w:space="0" w:color="auto"/>
              <w:right w:val="single" w:sz="4" w:space="0" w:color="auto"/>
            </w:tcBorders>
            <w:vAlign w:val="center"/>
            <w:hideMark/>
          </w:tcPr>
          <w:p w14:paraId="30B96F19" w14:textId="77777777" w:rsidR="00377F4B" w:rsidRPr="0049644E" w:rsidRDefault="00377F4B" w:rsidP="00F65513">
            <w:pPr>
              <w:spacing w:line="240" w:lineRule="auto"/>
              <w:rPr>
                <w:rFonts w:cs="Arial"/>
                <w:color w:val="000000"/>
                <w:szCs w:val="20"/>
                <w:lang w:eastAsia="sl-SI"/>
              </w:rPr>
            </w:pPr>
          </w:p>
        </w:tc>
        <w:tc>
          <w:tcPr>
            <w:tcW w:w="983" w:type="dxa"/>
            <w:tcBorders>
              <w:top w:val="nil"/>
              <w:left w:val="nil"/>
              <w:bottom w:val="single" w:sz="4" w:space="0" w:color="auto"/>
              <w:right w:val="single" w:sz="4" w:space="0" w:color="auto"/>
            </w:tcBorders>
            <w:shd w:val="clear" w:color="auto" w:fill="auto"/>
            <w:noWrap/>
            <w:vAlign w:val="bottom"/>
            <w:hideMark/>
          </w:tcPr>
          <w:p w14:paraId="54E7EB9F"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8</w:t>
            </w:r>
          </w:p>
        </w:tc>
        <w:tc>
          <w:tcPr>
            <w:tcW w:w="981" w:type="dxa"/>
            <w:tcBorders>
              <w:top w:val="nil"/>
              <w:left w:val="nil"/>
              <w:bottom w:val="single" w:sz="4" w:space="0" w:color="auto"/>
              <w:right w:val="single" w:sz="4" w:space="0" w:color="auto"/>
            </w:tcBorders>
            <w:shd w:val="clear" w:color="auto" w:fill="auto"/>
            <w:noWrap/>
            <w:vAlign w:val="bottom"/>
            <w:hideMark/>
          </w:tcPr>
          <w:p w14:paraId="60470EEC"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ESRR</w:t>
            </w:r>
          </w:p>
        </w:tc>
        <w:tc>
          <w:tcPr>
            <w:tcW w:w="1148" w:type="dxa"/>
            <w:tcBorders>
              <w:top w:val="nil"/>
              <w:left w:val="nil"/>
              <w:bottom w:val="single" w:sz="4" w:space="0" w:color="auto"/>
              <w:right w:val="single" w:sz="4" w:space="0" w:color="auto"/>
            </w:tcBorders>
            <w:shd w:val="clear" w:color="auto" w:fill="auto"/>
            <w:noWrap/>
            <w:vAlign w:val="bottom"/>
            <w:hideMark/>
          </w:tcPr>
          <w:p w14:paraId="21145D9C"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Vzhod</w:t>
            </w:r>
          </w:p>
        </w:tc>
        <w:tc>
          <w:tcPr>
            <w:tcW w:w="1761" w:type="dxa"/>
            <w:tcBorders>
              <w:top w:val="nil"/>
              <w:left w:val="nil"/>
              <w:bottom w:val="single" w:sz="4" w:space="0" w:color="auto"/>
              <w:right w:val="single" w:sz="4" w:space="0" w:color="auto"/>
            </w:tcBorders>
            <w:shd w:val="clear" w:color="auto" w:fill="auto"/>
            <w:noWrap/>
            <w:vAlign w:val="bottom"/>
            <w:hideMark/>
          </w:tcPr>
          <w:p w14:paraId="2557F667"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19.661.752</w:t>
            </w:r>
          </w:p>
        </w:tc>
        <w:tc>
          <w:tcPr>
            <w:tcW w:w="1557" w:type="dxa"/>
            <w:tcBorders>
              <w:top w:val="nil"/>
              <w:left w:val="nil"/>
              <w:bottom w:val="single" w:sz="4" w:space="0" w:color="auto"/>
              <w:right w:val="single" w:sz="4" w:space="0" w:color="auto"/>
            </w:tcBorders>
            <w:shd w:val="clear" w:color="auto" w:fill="auto"/>
            <w:noWrap/>
            <w:vAlign w:val="bottom"/>
            <w:hideMark/>
          </w:tcPr>
          <w:p w14:paraId="3A9480E5"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13.804.652</w:t>
            </w:r>
          </w:p>
        </w:tc>
        <w:tc>
          <w:tcPr>
            <w:tcW w:w="981" w:type="dxa"/>
            <w:tcBorders>
              <w:top w:val="nil"/>
              <w:left w:val="nil"/>
              <w:bottom w:val="single" w:sz="4" w:space="0" w:color="auto"/>
              <w:right w:val="single" w:sz="4" w:space="0" w:color="auto"/>
            </w:tcBorders>
            <w:shd w:val="clear" w:color="auto" w:fill="auto"/>
            <w:noWrap/>
            <w:vAlign w:val="bottom"/>
            <w:hideMark/>
          </w:tcPr>
          <w:p w14:paraId="6E21A2DC"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70%</w:t>
            </w:r>
          </w:p>
        </w:tc>
        <w:tc>
          <w:tcPr>
            <w:tcW w:w="1516" w:type="dxa"/>
            <w:tcBorders>
              <w:top w:val="nil"/>
              <w:left w:val="nil"/>
              <w:bottom w:val="single" w:sz="4" w:space="0" w:color="auto"/>
              <w:right w:val="single" w:sz="4" w:space="0" w:color="auto"/>
            </w:tcBorders>
            <w:shd w:val="clear" w:color="auto" w:fill="auto"/>
            <w:noWrap/>
            <w:vAlign w:val="bottom"/>
            <w:hideMark/>
          </w:tcPr>
          <w:p w14:paraId="1B71D1AD"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7885A825"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637" w:type="dxa"/>
            <w:tcBorders>
              <w:top w:val="nil"/>
              <w:left w:val="nil"/>
              <w:bottom w:val="single" w:sz="4" w:space="0" w:color="auto"/>
              <w:right w:val="single" w:sz="4" w:space="0" w:color="auto"/>
            </w:tcBorders>
            <w:shd w:val="clear" w:color="auto" w:fill="auto"/>
            <w:noWrap/>
            <w:vAlign w:val="bottom"/>
            <w:hideMark/>
          </w:tcPr>
          <w:p w14:paraId="3A908C87"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981" w:type="dxa"/>
            <w:tcBorders>
              <w:top w:val="nil"/>
              <w:left w:val="nil"/>
              <w:bottom w:val="single" w:sz="4" w:space="0" w:color="auto"/>
              <w:right w:val="single" w:sz="4" w:space="0" w:color="auto"/>
            </w:tcBorders>
            <w:shd w:val="clear" w:color="auto" w:fill="auto"/>
            <w:noWrap/>
            <w:vAlign w:val="bottom"/>
            <w:hideMark/>
          </w:tcPr>
          <w:p w14:paraId="566BDEE6"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0%</w:t>
            </w:r>
          </w:p>
        </w:tc>
        <w:tc>
          <w:tcPr>
            <w:tcW w:w="152" w:type="dxa"/>
            <w:vAlign w:val="center"/>
            <w:hideMark/>
          </w:tcPr>
          <w:p w14:paraId="0352FED1" w14:textId="77777777" w:rsidR="00377F4B" w:rsidRPr="0049644E" w:rsidRDefault="00377F4B" w:rsidP="00F65513">
            <w:pPr>
              <w:spacing w:line="240" w:lineRule="auto"/>
              <w:rPr>
                <w:rFonts w:cs="Arial"/>
                <w:szCs w:val="20"/>
                <w:lang w:eastAsia="sl-SI"/>
              </w:rPr>
            </w:pPr>
          </w:p>
        </w:tc>
      </w:tr>
      <w:tr w:rsidR="00377F4B" w:rsidRPr="0049644E" w14:paraId="67E87859" w14:textId="77777777" w:rsidTr="00F65513">
        <w:trPr>
          <w:trHeight w:val="270"/>
        </w:trPr>
        <w:tc>
          <w:tcPr>
            <w:tcW w:w="980" w:type="dxa"/>
            <w:vMerge w:val="restart"/>
            <w:tcBorders>
              <w:top w:val="nil"/>
              <w:left w:val="single" w:sz="4" w:space="0" w:color="auto"/>
              <w:bottom w:val="single" w:sz="4" w:space="0" w:color="auto"/>
              <w:right w:val="single" w:sz="4" w:space="0" w:color="auto"/>
            </w:tcBorders>
            <w:shd w:val="clear" w:color="auto" w:fill="auto"/>
            <w:noWrap/>
            <w:hideMark/>
          </w:tcPr>
          <w:p w14:paraId="65344F5A"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CP5</w:t>
            </w:r>
          </w:p>
        </w:tc>
        <w:tc>
          <w:tcPr>
            <w:tcW w:w="983" w:type="dxa"/>
            <w:vMerge w:val="restart"/>
            <w:tcBorders>
              <w:top w:val="nil"/>
              <w:left w:val="single" w:sz="4" w:space="0" w:color="auto"/>
              <w:bottom w:val="single" w:sz="4" w:space="0" w:color="auto"/>
              <w:right w:val="single" w:sz="4" w:space="0" w:color="auto"/>
            </w:tcBorders>
            <w:shd w:val="clear" w:color="auto" w:fill="auto"/>
            <w:noWrap/>
            <w:hideMark/>
          </w:tcPr>
          <w:p w14:paraId="22D513A7"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9</w:t>
            </w:r>
          </w:p>
        </w:tc>
        <w:tc>
          <w:tcPr>
            <w:tcW w:w="981" w:type="dxa"/>
            <w:tcBorders>
              <w:top w:val="nil"/>
              <w:left w:val="nil"/>
              <w:bottom w:val="single" w:sz="4" w:space="0" w:color="auto"/>
              <w:right w:val="single" w:sz="4" w:space="0" w:color="auto"/>
            </w:tcBorders>
            <w:shd w:val="clear" w:color="auto" w:fill="auto"/>
            <w:noWrap/>
            <w:vAlign w:val="bottom"/>
            <w:hideMark/>
          </w:tcPr>
          <w:p w14:paraId="635FACFB"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ESRR</w:t>
            </w:r>
          </w:p>
        </w:tc>
        <w:tc>
          <w:tcPr>
            <w:tcW w:w="1148" w:type="dxa"/>
            <w:tcBorders>
              <w:top w:val="nil"/>
              <w:left w:val="nil"/>
              <w:bottom w:val="single" w:sz="4" w:space="0" w:color="auto"/>
              <w:right w:val="single" w:sz="4" w:space="0" w:color="auto"/>
            </w:tcBorders>
            <w:shd w:val="clear" w:color="auto" w:fill="auto"/>
            <w:noWrap/>
            <w:vAlign w:val="bottom"/>
            <w:hideMark/>
          </w:tcPr>
          <w:p w14:paraId="687C05AD"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Zahod</w:t>
            </w:r>
          </w:p>
        </w:tc>
        <w:tc>
          <w:tcPr>
            <w:tcW w:w="1761" w:type="dxa"/>
            <w:tcBorders>
              <w:top w:val="nil"/>
              <w:left w:val="nil"/>
              <w:bottom w:val="single" w:sz="4" w:space="0" w:color="auto"/>
              <w:right w:val="single" w:sz="4" w:space="0" w:color="auto"/>
            </w:tcBorders>
            <w:shd w:val="clear" w:color="auto" w:fill="auto"/>
            <w:noWrap/>
            <w:vAlign w:val="bottom"/>
            <w:hideMark/>
          </w:tcPr>
          <w:p w14:paraId="78F2BEA5"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17.627.973</w:t>
            </w:r>
          </w:p>
        </w:tc>
        <w:tc>
          <w:tcPr>
            <w:tcW w:w="1557" w:type="dxa"/>
            <w:tcBorders>
              <w:top w:val="nil"/>
              <w:left w:val="nil"/>
              <w:bottom w:val="single" w:sz="4" w:space="0" w:color="auto"/>
              <w:right w:val="single" w:sz="4" w:space="0" w:color="auto"/>
            </w:tcBorders>
            <w:shd w:val="clear" w:color="auto" w:fill="auto"/>
            <w:noWrap/>
            <w:vAlign w:val="bottom"/>
            <w:hideMark/>
          </w:tcPr>
          <w:p w14:paraId="1388C95D"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9.014.607</w:t>
            </w:r>
          </w:p>
        </w:tc>
        <w:tc>
          <w:tcPr>
            <w:tcW w:w="981" w:type="dxa"/>
            <w:tcBorders>
              <w:top w:val="nil"/>
              <w:left w:val="nil"/>
              <w:bottom w:val="single" w:sz="4" w:space="0" w:color="auto"/>
              <w:right w:val="single" w:sz="4" w:space="0" w:color="auto"/>
            </w:tcBorders>
            <w:shd w:val="clear" w:color="auto" w:fill="auto"/>
            <w:noWrap/>
            <w:vAlign w:val="bottom"/>
            <w:hideMark/>
          </w:tcPr>
          <w:p w14:paraId="01A1AD5C"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51%</w:t>
            </w:r>
          </w:p>
        </w:tc>
        <w:tc>
          <w:tcPr>
            <w:tcW w:w="1516" w:type="dxa"/>
            <w:tcBorders>
              <w:top w:val="nil"/>
              <w:left w:val="nil"/>
              <w:bottom w:val="single" w:sz="4" w:space="0" w:color="auto"/>
              <w:right w:val="single" w:sz="4" w:space="0" w:color="auto"/>
            </w:tcBorders>
            <w:shd w:val="clear" w:color="auto" w:fill="auto"/>
            <w:noWrap/>
            <w:vAlign w:val="bottom"/>
            <w:hideMark/>
          </w:tcPr>
          <w:p w14:paraId="32845B38"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4.056.018</w:t>
            </w:r>
          </w:p>
        </w:tc>
        <w:tc>
          <w:tcPr>
            <w:tcW w:w="981" w:type="dxa"/>
            <w:tcBorders>
              <w:top w:val="nil"/>
              <w:left w:val="nil"/>
              <w:bottom w:val="single" w:sz="4" w:space="0" w:color="auto"/>
              <w:right w:val="single" w:sz="4" w:space="0" w:color="auto"/>
            </w:tcBorders>
            <w:shd w:val="clear" w:color="auto" w:fill="auto"/>
            <w:noWrap/>
            <w:vAlign w:val="bottom"/>
            <w:hideMark/>
          </w:tcPr>
          <w:p w14:paraId="1AAC410C"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23%</w:t>
            </w:r>
          </w:p>
        </w:tc>
        <w:tc>
          <w:tcPr>
            <w:tcW w:w="1637" w:type="dxa"/>
            <w:tcBorders>
              <w:top w:val="nil"/>
              <w:left w:val="nil"/>
              <w:bottom w:val="single" w:sz="4" w:space="0" w:color="auto"/>
              <w:right w:val="single" w:sz="4" w:space="0" w:color="auto"/>
            </w:tcBorders>
            <w:shd w:val="clear" w:color="auto" w:fill="auto"/>
            <w:noWrap/>
            <w:vAlign w:val="bottom"/>
            <w:hideMark/>
          </w:tcPr>
          <w:p w14:paraId="5D483632"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3.143.069</w:t>
            </w:r>
          </w:p>
        </w:tc>
        <w:tc>
          <w:tcPr>
            <w:tcW w:w="981" w:type="dxa"/>
            <w:tcBorders>
              <w:top w:val="nil"/>
              <w:left w:val="nil"/>
              <w:bottom w:val="single" w:sz="4" w:space="0" w:color="auto"/>
              <w:right w:val="single" w:sz="4" w:space="0" w:color="auto"/>
            </w:tcBorders>
            <w:shd w:val="clear" w:color="auto" w:fill="auto"/>
            <w:noWrap/>
            <w:vAlign w:val="bottom"/>
            <w:hideMark/>
          </w:tcPr>
          <w:p w14:paraId="365413A3"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18%</w:t>
            </w:r>
          </w:p>
        </w:tc>
        <w:tc>
          <w:tcPr>
            <w:tcW w:w="152" w:type="dxa"/>
            <w:vAlign w:val="center"/>
            <w:hideMark/>
          </w:tcPr>
          <w:p w14:paraId="528232EC" w14:textId="77777777" w:rsidR="00377F4B" w:rsidRPr="0049644E" w:rsidRDefault="00377F4B" w:rsidP="00F65513">
            <w:pPr>
              <w:spacing w:line="240" w:lineRule="auto"/>
              <w:rPr>
                <w:rFonts w:cs="Arial"/>
                <w:szCs w:val="20"/>
                <w:lang w:eastAsia="sl-SI"/>
              </w:rPr>
            </w:pPr>
          </w:p>
        </w:tc>
      </w:tr>
      <w:tr w:rsidR="00377F4B" w:rsidRPr="0049644E" w14:paraId="1D0DFA53" w14:textId="77777777" w:rsidTr="00F65513">
        <w:trPr>
          <w:trHeight w:val="270"/>
        </w:trPr>
        <w:tc>
          <w:tcPr>
            <w:tcW w:w="980" w:type="dxa"/>
            <w:vMerge/>
            <w:tcBorders>
              <w:top w:val="nil"/>
              <w:left w:val="single" w:sz="4" w:space="0" w:color="auto"/>
              <w:bottom w:val="single" w:sz="4" w:space="0" w:color="auto"/>
              <w:right w:val="single" w:sz="4" w:space="0" w:color="auto"/>
            </w:tcBorders>
            <w:vAlign w:val="center"/>
            <w:hideMark/>
          </w:tcPr>
          <w:p w14:paraId="5C5DEEC2" w14:textId="77777777" w:rsidR="00377F4B" w:rsidRPr="0049644E" w:rsidRDefault="00377F4B" w:rsidP="00F65513">
            <w:pPr>
              <w:spacing w:line="240" w:lineRule="auto"/>
              <w:rPr>
                <w:rFonts w:cs="Arial"/>
                <w:color w:val="000000"/>
                <w:szCs w:val="20"/>
                <w:lang w:eastAsia="sl-SI"/>
              </w:rPr>
            </w:pPr>
          </w:p>
        </w:tc>
        <w:tc>
          <w:tcPr>
            <w:tcW w:w="983" w:type="dxa"/>
            <w:vMerge/>
            <w:tcBorders>
              <w:top w:val="nil"/>
              <w:left w:val="single" w:sz="4" w:space="0" w:color="auto"/>
              <w:bottom w:val="single" w:sz="4" w:space="0" w:color="auto"/>
              <w:right w:val="single" w:sz="4" w:space="0" w:color="auto"/>
            </w:tcBorders>
            <w:vAlign w:val="center"/>
            <w:hideMark/>
          </w:tcPr>
          <w:p w14:paraId="1A9D6F0E" w14:textId="77777777" w:rsidR="00377F4B" w:rsidRPr="0049644E" w:rsidRDefault="00377F4B" w:rsidP="00F65513">
            <w:pPr>
              <w:spacing w:line="240" w:lineRule="auto"/>
              <w:rPr>
                <w:rFonts w:cs="Arial"/>
                <w:color w:val="000000"/>
                <w:szCs w:val="20"/>
                <w:lang w:eastAsia="sl-SI"/>
              </w:rPr>
            </w:pPr>
          </w:p>
        </w:tc>
        <w:tc>
          <w:tcPr>
            <w:tcW w:w="981" w:type="dxa"/>
            <w:tcBorders>
              <w:top w:val="nil"/>
              <w:left w:val="nil"/>
              <w:bottom w:val="single" w:sz="4" w:space="0" w:color="auto"/>
              <w:right w:val="single" w:sz="4" w:space="0" w:color="auto"/>
            </w:tcBorders>
            <w:shd w:val="clear" w:color="auto" w:fill="auto"/>
            <w:noWrap/>
            <w:vAlign w:val="bottom"/>
            <w:hideMark/>
          </w:tcPr>
          <w:p w14:paraId="24BA391D"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ESRR</w:t>
            </w:r>
          </w:p>
        </w:tc>
        <w:tc>
          <w:tcPr>
            <w:tcW w:w="1148" w:type="dxa"/>
            <w:tcBorders>
              <w:top w:val="nil"/>
              <w:left w:val="nil"/>
              <w:bottom w:val="single" w:sz="4" w:space="0" w:color="auto"/>
              <w:right w:val="single" w:sz="4" w:space="0" w:color="auto"/>
            </w:tcBorders>
            <w:shd w:val="clear" w:color="auto" w:fill="auto"/>
            <w:noWrap/>
            <w:vAlign w:val="bottom"/>
            <w:hideMark/>
          </w:tcPr>
          <w:p w14:paraId="172DDCE3"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Vzhod</w:t>
            </w:r>
          </w:p>
        </w:tc>
        <w:tc>
          <w:tcPr>
            <w:tcW w:w="1761" w:type="dxa"/>
            <w:tcBorders>
              <w:top w:val="nil"/>
              <w:left w:val="nil"/>
              <w:bottom w:val="single" w:sz="4" w:space="0" w:color="auto"/>
              <w:right w:val="single" w:sz="4" w:space="0" w:color="auto"/>
            </w:tcBorders>
            <w:shd w:val="clear" w:color="auto" w:fill="auto"/>
            <w:noWrap/>
            <w:vAlign w:val="bottom"/>
            <w:hideMark/>
          </w:tcPr>
          <w:p w14:paraId="557FB1A7"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67.602.812</w:t>
            </w:r>
          </w:p>
        </w:tc>
        <w:tc>
          <w:tcPr>
            <w:tcW w:w="1557" w:type="dxa"/>
            <w:tcBorders>
              <w:top w:val="nil"/>
              <w:left w:val="nil"/>
              <w:bottom w:val="single" w:sz="4" w:space="0" w:color="auto"/>
              <w:right w:val="single" w:sz="4" w:space="0" w:color="auto"/>
            </w:tcBorders>
            <w:shd w:val="clear" w:color="auto" w:fill="auto"/>
            <w:noWrap/>
            <w:vAlign w:val="bottom"/>
            <w:hideMark/>
          </w:tcPr>
          <w:p w14:paraId="1ECF2E8F"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22.838.637</w:t>
            </w:r>
          </w:p>
        </w:tc>
        <w:tc>
          <w:tcPr>
            <w:tcW w:w="981" w:type="dxa"/>
            <w:tcBorders>
              <w:top w:val="nil"/>
              <w:left w:val="nil"/>
              <w:bottom w:val="single" w:sz="4" w:space="0" w:color="auto"/>
              <w:right w:val="single" w:sz="4" w:space="0" w:color="auto"/>
            </w:tcBorders>
            <w:shd w:val="clear" w:color="auto" w:fill="auto"/>
            <w:noWrap/>
            <w:vAlign w:val="bottom"/>
            <w:hideMark/>
          </w:tcPr>
          <w:p w14:paraId="0D39E417"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34%</w:t>
            </w:r>
          </w:p>
        </w:tc>
        <w:tc>
          <w:tcPr>
            <w:tcW w:w="1516" w:type="dxa"/>
            <w:tcBorders>
              <w:top w:val="nil"/>
              <w:left w:val="nil"/>
              <w:bottom w:val="single" w:sz="4" w:space="0" w:color="auto"/>
              <w:right w:val="single" w:sz="4" w:space="0" w:color="auto"/>
            </w:tcBorders>
            <w:shd w:val="clear" w:color="auto" w:fill="auto"/>
            <w:noWrap/>
            <w:vAlign w:val="bottom"/>
            <w:hideMark/>
          </w:tcPr>
          <w:p w14:paraId="00F00C6B"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4.533.480</w:t>
            </w:r>
          </w:p>
        </w:tc>
        <w:tc>
          <w:tcPr>
            <w:tcW w:w="981" w:type="dxa"/>
            <w:tcBorders>
              <w:top w:val="nil"/>
              <w:left w:val="nil"/>
              <w:bottom w:val="single" w:sz="4" w:space="0" w:color="auto"/>
              <w:right w:val="single" w:sz="4" w:space="0" w:color="auto"/>
            </w:tcBorders>
            <w:shd w:val="clear" w:color="auto" w:fill="auto"/>
            <w:noWrap/>
            <w:vAlign w:val="bottom"/>
            <w:hideMark/>
          </w:tcPr>
          <w:p w14:paraId="141911FB"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7%</w:t>
            </w:r>
          </w:p>
        </w:tc>
        <w:tc>
          <w:tcPr>
            <w:tcW w:w="1637" w:type="dxa"/>
            <w:tcBorders>
              <w:top w:val="nil"/>
              <w:left w:val="nil"/>
              <w:bottom w:val="single" w:sz="4" w:space="0" w:color="auto"/>
              <w:right w:val="single" w:sz="4" w:space="0" w:color="auto"/>
            </w:tcBorders>
            <w:shd w:val="clear" w:color="auto" w:fill="auto"/>
            <w:noWrap/>
            <w:vAlign w:val="bottom"/>
            <w:hideMark/>
          </w:tcPr>
          <w:p w14:paraId="20D38B00"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757.751</w:t>
            </w:r>
          </w:p>
        </w:tc>
        <w:tc>
          <w:tcPr>
            <w:tcW w:w="981" w:type="dxa"/>
            <w:tcBorders>
              <w:top w:val="nil"/>
              <w:left w:val="nil"/>
              <w:bottom w:val="single" w:sz="4" w:space="0" w:color="auto"/>
              <w:right w:val="single" w:sz="4" w:space="0" w:color="auto"/>
            </w:tcBorders>
            <w:shd w:val="clear" w:color="auto" w:fill="auto"/>
            <w:noWrap/>
            <w:vAlign w:val="bottom"/>
            <w:hideMark/>
          </w:tcPr>
          <w:p w14:paraId="6E88428C"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w:t>
            </w:r>
          </w:p>
        </w:tc>
        <w:tc>
          <w:tcPr>
            <w:tcW w:w="152" w:type="dxa"/>
            <w:vAlign w:val="center"/>
            <w:hideMark/>
          </w:tcPr>
          <w:p w14:paraId="7C6DD840" w14:textId="77777777" w:rsidR="00377F4B" w:rsidRPr="0049644E" w:rsidRDefault="00377F4B" w:rsidP="00F65513">
            <w:pPr>
              <w:spacing w:line="240" w:lineRule="auto"/>
              <w:rPr>
                <w:rFonts w:cs="Arial"/>
                <w:szCs w:val="20"/>
                <w:lang w:eastAsia="sl-SI"/>
              </w:rPr>
            </w:pPr>
          </w:p>
        </w:tc>
      </w:tr>
      <w:tr w:rsidR="00377F4B" w:rsidRPr="0049644E" w14:paraId="7D5145FC" w14:textId="77777777" w:rsidTr="00F65513">
        <w:trPr>
          <w:trHeight w:val="270"/>
        </w:trPr>
        <w:tc>
          <w:tcPr>
            <w:tcW w:w="980" w:type="dxa"/>
            <w:tcBorders>
              <w:top w:val="nil"/>
              <w:left w:val="single" w:sz="4" w:space="0" w:color="auto"/>
              <w:bottom w:val="single" w:sz="4" w:space="0" w:color="auto"/>
              <w:right w:val="single" w:sz="4" w:space="0" w:color="auto"/>
            </w:tcBorders>
            <w:shd w:val="clear" w:color="auto" w:fill="auto"/>
            <w:noWrap/>
            <w:hideMark/>
          </w:tcPr>
          <w:p w14:paraId="3C490B5C"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CP6</w:t>
            </w:r>
          </w:p>
        </w:tc>
        <w:tc>
          <w:tcPr>
            <w:tcW w:w="983" w:type="dxa"/>
            <w:tcBorders>
              <w:top w:val="nil"/>
              <w:left w:val="nil"/>
              <w:bottom w:val="single" w:sz="4" w:space="0" w:color="auto"/>
              <w:right w:val="single" w:sz="4" w:space="0" w:color="auto"/>
            </w:tcBorders>
            <w:shd w:val="clear" w:color="auto" w:fill="auto"/>
            <w:noWrap/>
            <w:hideMark/>
          </w:tcPr>
          <w:p w14:paraId="59458DA8"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10</w:t>
            </w:r>
          </w:p>
        </w:tc>
        <w:tc>
          <w:tcPr>
            <w:tcW w:w="981" w:type="dxa"/>
            <w:tcBorders>
              <w:top w:val="nil"/>
              <w:left w:val="nil"/>
              <w:bottom w:val="single" w:sz="4" w:space="0" w:color="auto"/>
              <w:right w:val="single" w:sz="4" w:space="0" w:color="auto"/>
            </w:tcBorders>
            <w:shd w:val="clear" w:color="auto" w:fill="auto"/>
            <w:noWrap/>
            <w:vAlign w:val="bottom"/>
            <w:hideMark/>
          </w:tcPr>
          <w:p w14:paraId="5C583993"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SPP</w:t>
            </w:r>
          </w:p>
        </w:tc>
        <w:tc>
          <w:tcPr>
            <w:tcW w:w="1148" w:type="dxa"/>
            <w:tcBorders>
              <w:top w:val="nil"/>
              <w:left w:val="nil"/>
              <w:bottom w:val="single" w:sz="4" w:space="0" w:color="auto"/>
              <w:right w:val="single" w:sz="4" w:space="0" w:color="auto"/>
            </w:tcBorders>
            <w:shd w:val="clear" w:color="auto" w:fill="auto"/>
            <w:noWrap/>
            <w:vAlign w:val="bottom"/>
            <w:hideMark/>
          </w:tcPr>
          <w:p w14:paraId="3FA5AA8C" w14:textId="77777777" w:rsidR="00377F4B" w:rsidRPr="0049644E" w:rsidRDefault="00377F4B" w:rsidP="00F65513">
            <w:pPr>
              <w:spacing w:line="240" w:lineRule="auto"/>
              <w:rPr>
                <w:rFonts w:cs="Arial"/>
                <w:color w:val="000000"/>
                <w:szCs w:val="20"/>
                <w:lang w:eastAsia="sl-SI"/>
              </w:rPr>
            </w:pPr>
            <w:r w:rsidRPr="0049644E">
              <w:rPr>
                <w:rFonts w:cs="Arial"/>
                <w:color w:val="000000"/>
                <w:szCs w:val="20"/>
                <w:lang w:eastAsia="sl-SI"/>
              </w:rPr>
              <w:t>Celotna SI</w:t>
            </w:r>
          </w:p>
        </w:tc>
        <w:tc>
          <w:tcPr>
            <w:tcW w:w="1761" w:type="dxa"/>
            <w:tcBorders>
              <w:top w:val="nil"/>
              <w:left w:val="nil"/>
              <w:bottom w:val="single" w:sz="4" w:space="0" w:color="auto"/>
              <w:right w:val="single" w:sz="4" w:space="0" w:color="auto"/>
            </w:tcBorders>
            <w:shd w:val="clear" w:color="auto" w:fill="auto"/>
            <w:noWrap/>
            <w:vAlign w:val="bottom"/>
            <w:hideMark/>
          </w:tcPr>
          <w:p w14:paraId="518C9726"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248.773.600</w:t>
            </w:r>
          </w:p>
        </w:tc>
        <w:tc>
          <w:tcPr>
            <w:tcW w:w="1557" w:type="dxa"/>
            <w:tcBorders>
              <w:top w:val="nil"/>
              <w:left w:val="nil"/>
              <w:bottom w:val="single" w:sz="4" w:space="0" w:color="auto"/>
              <w:right w:val="single" w:sz="4" w:space="0" w:color="auto"/>
            </w:tcBorders>
            <w:shd w:val="clear" w:color="auto" w:fill="auto"/>
            <w:noWrap/>
            <w:vAlign w:val="bottom"/>
            <w:hideMark/>
          </w:tcPr>
          <w:p w14:paraId="198F61ED"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157.603.166</w:t>
            </w:r>
          </w:p>
        </w:tc>
        <w:tc>
          <w:tcPr>
            <w:tcW w:w="981" w:type="dxa"/>
            <w:tcBorders>
              <w:top w:val="nil"/>
              <w:left w:val="nil"/>
              <w:bottom w:val="single" w:sz="4" w:space="0" w:color="auto"/>
              <w:right w:val="single" w:sz="4" w:space="0" w:color="auto"/>
            </w:tcBorders>
            <w:shd w:val="clear" w:color="auto" w:fill="auto"/>
            <w:noWrap/>
            <w:vAlign w:val="bottom"/>
            <w:hideMark/>
          </w:tcPr>
          <w:p w14:paraId="2CAC81C3"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63%</w:t>
            </w:r>
          </w:p>
        </w:tc>
        <w:tc>
          <w:tcPr>
            <w:tcW w:w="1516" w:type="dxa"/>
            <w:tcBorders>
              <w:top w:val="nil"/>
              <w:left w:val="nil"/>
              <w:bottom w:val="single" w:sz="4" w:space="0" w:color="auto"/>
              <w:right w:val="single" w:sz="4" w:space="0" w:color="auto"/>
            </w:tcBorders>
            <w:shd w:val="clear" w:color="auto" w:fill="auto"/>
            <w:noWrap/>
            <w:vAlign w:val="bottom"/>
            <w:hideMark/>
          </w:tcPr>
          <w:p w14:paraId="70FAE64F"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28.533.599</w:t>
            </w:r>
          </w:p>
        </w:tc>
        <w:tc>
          <w:tcPr>
            <w:tcW w:w="981" w:type="dxa"/>
            <w:tcBorders>
              <w:top w:val="nil"/>
              <w:left w:val="nil"/>
              <w:bottom w:val="single" w:sz="4" w:space="0" w:color="auto"/>
              <w:right w:val="single" w:sz="4" w:space="0" w:color="auto"/>
            </w:tcBorders>
            <w:shd w:val="clear" w:color="auto" w:fill="auto"/>
            <w:noWrap/>
            <w:vAlign w:val="bottom"/>
            <w:hideMark/>
          </w:tcPr>
          <w:p w14:paraId="6462680C"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11%</w:t>
            </w:r>
          </w:p>
        </w:tc>
        <w:tc>
          <w:tcPr>
            <w:tcW w:w="1637" w:type="dxa"/>
            <w:tcBorders>
              <w:top w:val="nil"/>
              <w:left w:val="nil"/>
              <w:bottom w:val="single" w:sz="4" w:space="0" w:color="auto"/>
              <w:right w:val="single" w:sz="4" w:space="0" w:color="auto"/>
            </w:tcBorders>
            <w:shd w:val="clear" w:color="auto" w:fill="auto"/>
            <w:noWrap/>
            <w:vAlign w:val="bottom"/>
            <w:hideMark/>
          </w:tcPr>
          <w:p w14:paraId="2E3E7E3C"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9.033.858</w:t>
            </w:r>
          </w:p>
        </w:tc>
        <w:tc>
          <w:tcPr>
            <w:tcW w:w="981" w:type="dxa"/>
            <w:tcBorders>
              <w:top w:val="nil"/>
              <w:left w:val="nil"/>
              <w:bottom w:val="single" w:sz="4" w:space="0" w:color="auto"/>
              <w:right w:val="single" w:sz="4" w:space="0" w:color="auto"/>
            </w:tcBorders>
            <w:shd w:val="clear" w:color="auto" w:fill="auto"/>
            <w:noWrap/>
            <w:vAlign w:val="bottom"/>
            <w:hideMark/>
          </w:tcPr>
          <w:p w14:paraId="2E7D9086" w14:textId="77777777" w:rsidR="00377F4B" w:rsidRPr="0049644E" w:rsidRDefault="00377F4B" w:rsidP="00F65513">
            <w:pPr>
              <w:spacing w:line="240" w:lineRule="auto"/>
              <w:jc w:val="right"/>
              <w:rPr>
                <w:rFonts w:cs="Arial"/>
                <w:color w:val="000000"/>
                <w:szCs w:val="20"/>
                <w:lang w:eastAsia="sl-SI"/>
              </w:rPr>
            </w:pPr>
            <w:r w:rsidRPr="0049644E">
              <w:rPr>
                <w:rFonts w:cs="Arial"/>
                <w:color w:val="000000"/>
                <w:szCs w:val="20"/>
                <w:lang w:eastAsia="sl-SI"/>
              </w:rPr>
              <w:t>4%</w:t>
            </w:r>
          </w:p>
        </w:tc>
        <w:tc>
          <w:tcPr>
            <w:tcW w:w="152" w:type="dxa"/>
            <w:vAlign w:val="center"/>
            <w:hideMark/>
          </w:tcPr>
          <w:p w14:paraId="221E3E85" w14:textId="77777777" w:rsidR="00377F4B" w:rsidRPr="0049644E" w:rsidRDefault="00377F4B" w:rsidP="00F65513">
            <w:pPr>
              <w:spacing w:line="240" w:lineRule="auto"/>
              <w:rPr>
                <w:rFonts w:cs="Arial"/>
                <w:szCs w:val="20"/>
                <w:lang w:eastAsia="sl-SI"/>
              </w:rPr>
            </w:pPr>
          </w:p>
        </w:tc>
      </w:tr>
      <w:tr w:rsidR="00377F4B" w:rsidRPr="0049644E" w14:paraId="576C5185" w14:textId="77777777" w:rsidTr="009E5A3A">
        <w:trPr>
          <w:trHeight w:val="270"/>
        </w:trPr>
        <w:tc>
          <w:tcPr>
            <w:tcW w:w="409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31F6D44D" w14:textId="77777777" w:rsidR="00377F4B" w:rsidRPr="0049644E" w:rsidRDefault="00377F4B" w:rsidP="00F65513">
            <w:pPr>
              <w:spacing w:line="240" w:lineRule="auto"/>
              <w:rPr>
                <w:rFonts w:cs="Arial"/>
                <w:b/>
                <w:bCs/>
                <w:color w:val="000000"/>
                <w:szCs w:val="20"/>
                <w:lang w:eastAsia="sl-SI"/>
              </w:rPr>
            </w:pPr>
            <w:r w:rsidRPr="0049644E">
              <w:rPr>
                <w:rFonts w:cs="Arial"/>
                <w:b/>
                <w:bCs/>
                <w:color w:val="000000"/>
                <w:szCs w:val="20"/>
                <w:lang w:eastAsia="sl-SI"/>
              </w:rPr>
              <w:t>SKUPAJ</w:t>
            </w:r>
          </w:p>
        </w:tc>
        <w:tc>
          <w:tcPr>
            <w:tcW w:w="1761" w:type="dxa"/>
            <w:tcBorders>
              <w:top w:val="nil"/>
              <w:left w:val="nil"/>
              <w:bottom w:val="single" w:sz="4" w:space="0" w:color="auto"/>
              <w:right w:val="single" w:sz="4" w:space="0" w:color="auto"/>
            </w:tcBorders>
            <w:shd w:val="clear" w:color="auto" w:fill="D9E2F3" w:themeFill="accent1" w:themeFillTint="33"/>
            <w:noWrap/>
            <w:vAlign w:val="bottom"/>
            <w:hideMark/>
          </w:tcPr>
          <w:p w14:paraId="653B5C45" w14:textId="77777777" w:rsidR="00377F4B" w:rsidRPr="0049644E" w:rsidRDefault="00377F4B" w:rsidP="00F65513">
            <w:pPr>
              <w:spacing w:line="240" w:lineRule="auto"/>
              <w:jc w:val="right"/>
              <w:rPr>
                <w:rFonts w:cs="Arial"/>
                <w:b/>
                <w:bCs/>
                <w:color w:val="000000"/>
                <w:szCs w:val="20"/>
                <w:lang w:eastAsia="sl-SI"/>
              </w:rPr>
            </w:pPr>
            <w:r w:rsidRPr="0049644E">
              <w:rPr>
                <w:rFonts w:cs="Arial"/>
                <w:b/>
                <w:bCs/>
                <w:color w:val="000000"/>
                <w:szCs w:val="20"/>
                <w:lang w:eastAsia="sl-SI"/>
              </w:rPr>
              <w:t>3.106.640.412</w:t>
            </w:r>
          </w:p>
        </w:tc>
        <w:tc>
          <w:tcPr>
            <w:tcW w:w="1557" w:type="dxa"/>
            <w:tcBorders>
              <w:top w:val="nil"/>
              <w:left w:val="nil"/>
              <w:bottom w:val="single" w:sz="4" w:space="0" w:color="auto"/>
              <w:right w:val="single" w:sz="4" w:space="0" w:color="auto"/>
            </w:tcBorders>
            <w:shd w:val="clear" w:color="auto" w:fill="D9E2F3" w:themeFill="accent1" w:themeFillTint="33"/>
            <w:noWrap/>
            <w:vAlign w:val="bottom"/>
            <w:hideMark/>
          </w:tcPr>
          <w:p w14:paraId="314FBC27" w14:textId="77777777" w:rsidR="00377F4B" w:rsidRPr="0049644E" w:rsidRDefault="00377F4B" w:rsidP="00F65513">
            <w:pPr>
              <w:spacing w:line="240" w:lineRule="auto"/>
              <w:jc w:val="right"/>
              <w:rPr>
                <w:rFonts w:cs="Arial"/>
                <w:b/>
                <w:bCs/>
                <w:color w:val="000000"/>
                <w:szCs w:val="20"/>
                <w:lang w:eastAsia="sl-SI"/>
              </w:rPr>
            </w:pPr>
            <w:r w:rsidRPr="0049644E">
              <w:rPr>
                <w:rFonts w:cs="Arial"/>
                <w:b/>
                <w:bCs/>
                <w:color w:val="000000"/>
                <w:szCs w:val="20"/>
                <w:lang w:eastAsia="sl-SI"/>
              </w:rPr>
              <w:t>791.314.116</w:t>
            </w:r>
          </w:p>
        </w:tc>
        <w:tc>
          <w:tcPr>
            <w:tcW w:w="981" w:type="dxa"/>
            <w:tcBorders>
              <w:top w:val="nil"/>
              <w:left w:val="nil"/>
              <w:bottom w:val="single" w:sz="4" w:space="0" w:color="auto"/>
              <w:right w:val="single" w:sz="4" w:space="0" w:color="auto"/>
            </w:tcBorders>
            <w:shd w:val="clear" w:color="auto" w:fill="D9E2F3" w:themeFill="accent1" w:themeFillTint="33"/>
            <w:noWrap/>
            <w:vAlign w:val="bottom"/>
            <w:hideMark/>
          </w:tcPr>
          <w:p w14:paraId="5AF1EC06" w14:textId="77777777" w:rsidR="00377F4B" w:rsidRPr="0049644E" w:rsidRDefault="00377F4B" w:rsidP="00F65513">
            <w:pPr>
              <w:spacing w:line="240" w:lineRule="auto"/>
              <w:jc w:val="right"/>
              <w:rPr>
                <w:rFonts w:cs="Arial"/>
                <w:b/>
                <w:bCs/>
                <w:color w:val="000000"/>
                <w:szCs w:val="20"/>
                <w:lang w:eastAsia="sl-SI"/>
              </w:rPr>
            </w:pPr>
            <w:r w:rsidRPr="0049644E">
              <w:rPr>
                <w:rFonts w:cs="Arial"/>
                <w:b/>
                <w:bCs/>
                <w:color w:val="000000"/>
                <w:szCs w:val="20"/>
                <w:lang w:eastAsia="sl-SI"/>
              </w:rPr>
              <w:t>25%</w:t>
            </w:r>
          </w:p>
        </w:tc>
        <w:tc>
          <w:tcPr>
            <w:tcW w:w="1516" w:type="dxa"/>
            <w:tcBorders>
              <w:top w:val="nil"/>
              <w:left w:val="nil"/>
              <w:bottom w:val="single" w:sz="4" w:space="0" w:color="auto"/>
              <w:right w:val="single" w:sz="4" w:space="0" w:color="auto"/>
            </w:tcBorders>
            <w:shd w:val="clear" w:color="auto" w:fill="D9E2F3" w:themeFill="accent1" w:themeFillTint="33"/>
            <w:noWrap/>
            <w:vAlign w:val="bottom"/>
            <w:hideMark/>
          </w:tcPr>
          <w:p w14:paraId="0DF88371" w14:textId="77777777" w:rsidR="00377F4B" w:rsidRPr="0049644E" w:rsidRDefault="00377F4B" w:rsidP="00F65513">
            <w:pPr>
              <w:spacing w:line="240" w:lineRule="auto"/>
              <w:jc w:val="right"/>
              <w:rPr>
                <w:rFonts w:cs="Arial"/>
                <w:b/>
                <w:bCs/>
                <w:color w:val="000000"/>
                <w:szCs w:val="20"/>
                <w:lang w:eastAsia="sl-SI"/>
              </w:rPr>
            </w:pPr>
            <w:r w:rsidRPr="0049644E">
              <w:rPr>
                <w:rFonts w:cs="Arial"/>
                <w:b/>
                <w:bCs/>
                <w:color w:val="000000"/>
                <w:szCs w:val="20"/>
                <w:lang w:eastAsia="sl-SI"/>
              </w:rPr>
              <w:t>521.413.805</w:t>
            </w:r>
          </w:p>
        </w:tc>
        <w:tc>
          <w:tcPr>
            <w:tcW w:w="981" w:type="dxa"/>
            <w:tcBorders>
              <w:top w:val="nil"/>
              <w:left w:val="nil"/>
              <w:bottom w:val="single" w:sz="4" w:space="0" w:color="auto"/>
              <w:right w:val="single" w:sz="4" w:space="0" w:color="auto"/>
            </w:tcBorders>
            <w:shd w:val="clear" w:color="auto" w:fill="D9E2F3" w:themeFill="accent1" w:themeFillTint="33"/>
            <w:noWrap/>
            <w:vAlign w:val="bottom"/>
            <w:hideMark/>
          </w:tcPr>
          <w:p w14:paraId="11D730B0" w14:textId="77777777" w:rsidR="00377F4B" w:rsidRPr="0049644E" w:rsidRDefault="00377F4B" w:rsidP="00F65513">
            <w:pPr>
              <w:spacing w:line="240" w:lineRule="auto"/>
              <w:jc w:val="right"/>
              <w:rPr>
                <w:rFonts w:cs="Arial"/>
                <w:b/>
                <w:bCs/>
                <w:color w:val="000000"/>
                <w:szCs w:val="20"/>
                <w:lang w:eastAsia="sl-SI"/>
              </w:rPr>
            </w:pPr>
            <w:r w:rsidRPr="0049644E">
              <w:rPr>
                <w:rFonts w:cs="Arial"/>
                <w:b/>
                <w:bCs/>
                <w:color w:val="000000"/>
                <w:szCs w:val="20"/>
                <w:lang w:eastAsia="sl-SI"/>
              </w:rPr>
              <w:t>17%</w:t>
            </w:r>
          </w:p>
        </w:tc>
        <w:tc>
          <w:tcPr>
            <w:tcW w:w="1637" w:type="dxa"/>
            <w:tcBorders>
              <w:top w:val="nil"/>
              <w:left w:val="nil"/>
              <w:bottom w:val="single" w:sz="4" w:space="0" w:color="auto"/>
              <w:right w:val="single" w:sz="4" w:space="0" w:color="auto"/>
            </w:tcBorders>
            <w:shd w:val="clear" w:color="auto" w:fill="D9E2F3" w:themeFill="accent1" w:themeFillTint="33"/>
            <w:noWrap/>
            <w:vAlign w:val="bottom"/>
            <w:hideMark/>
          </w:tcPr>
          <w:p w14:paraId="077390FB" w14:textId="77777777" w:rsidR="00377F4B" w:rsidRPr="0049644E" w:rsidRDefault="00377F4B" w:rsidP="00F65513">
            <w:pPr>
              <w:spacing w:line="240" w:lineRule="auto"/>
              <w:jc w:val="right"/>
              <w:rPr>
                <w:rFonts w:cs="Arial"/>
                <w:b/>
                <w:bCs/>
                <w:color w:val="000000"/>
                <w:szCs w:val="20"/>
                <w:lang w:eastAsia="sl-SI"/>
              </w:rPr>
            </w:pPr>
            <w:r w:rsidRPr="0049644E">
              <w:rPr>
                <w:rFonts w:cs="Arial"/>
                <w:b/>
                <w:bCs/>
                <w:color w:val="000000"/>
                <w:szCs w:val="20"/>
                <w:lang w:eastAsia="sl-SI"/>
              </w:rPr>
              <w:t>74.248.266</w:t>
            </w:r>
          </w:p>
        </w:tc>
        <w:tc>
          <w:tcPr>
            <w:tcW w:w="981" w:type="dxa"/>
            <w:tcBorders>
              <w:top w:val="nil"/>
              <w:left w:val="nil"/>
              <w:bottom w:val="single" w:sz="4" w:space="0" w:color="auto"/>
              <w:right w:val="single" w:sz="4" w:space="0" w:color="auto"/>
            </w:tcBorders>
            <w:shd w:val="clear" w:color="auto" w:fill="D9E2F3" w:themeFill="accent1" w:themeFillTint="33"/>
            <w:noWrap/>
            <w:vAlign w:val="bottom"/>
            <w:hideMark/>
          </w:tcPr>
          <w:p w14:paraId="778D93C5" w14:textId="77777777" w:rsidR="00377F4B" w:rsidRPr="0049644E" w:rsidRDefault="00377F4B" w:rsidP="00F65513">
            <w:pPr>
              <w:spacing w:line="240" w:lineRule="auto"/>
              <w:jc w:val="right"/>
              <w:rPr>
                <w:rFonts w:cs="Arial"/>
                <w:b/>
                <w:bCs/>
                <w:color w:val="000000"/>
                <w:szCs w:val="20"/>
                <w:lang w:eastAsia="sl-SI"/>
              </w:rPr>
            </w:pPr>
            <w:r w:rsidRPr="0049644E">
              <w:rPr>
                <w:rFonts w:cs="Arial"/>
                <w:b/>
                <w:bCs/>
                <w:color w:val="000000"/>
                <w:szCs w:val="20"/>
                <w:lang w:eastAsia="sl-SI"/>
              </w:rPr>
              <w:t>2%</w:t>
            </w:r>
          </w:p>
        </w:tc>
        <w:tc>
          <w:tcPr>
            <w:tcW w:w="152" w:type="dxa"/>
            <w:vAlign w:val="center"/>
            <w:hideMark/>
          </w:tcPr>
          <w:p w14:paraId="0D6ADB50" w14:textId="77777777" w:rsidR="00377F4B" w:rsidRPr="0049644E" w:rsidRDefault="00377F4B" w:rsidP="00F65513">
            <w:pPr>
              <w:spacing w:line="240" w:lineRule="auto"/>
              <w:rPr>
                <w:rFonts w:cs="Arial"/>
                <w:szCs w:val="20"/>
                <w:lang w:eastAsia="sl-SI"/>
              </w:rPr>
            </w:pPr>
          </w:p>
        </w:tc>
      </w:tr>
    </w:tbl>
    <w:bookmarkEnd w:id="4"/>
    <w:p w14:paraId="316C115A" w14:textId="5E1E5CCC" w:rsidR="004F1641" w:rsidRPr="00E600E2" w:rsidRDefault="004F1641" w:rsidP="004F1641">
      <w:pPr>
        <w:pStyle w:val="Napis"/>
        <w:spacing w:after="0"/>
        <w:rPr>
          <w:i w:val="0"/>
          <w:iCs w:val="0"/>
          <w:color w:val="auto"/>
          <w:sz w:val="16"/>
          <w:szCs w:val="16"/>
        </w:rPr>
      </w:pPr>
      <w:r w:rsidRPr="00E600E2">
        <w:rPr>
          <w:i w:val="0"/>
          <w:iCs w:val="0"/>
          <w:color w:val="auto"/>
          <w:sz w:val="16"/>
          <w:szCs w:val="16"/>
        </w:rPr>
        <w:t>Vir: IS e-MA, MFERAC</w:t>
      </w:r>
    </w:p>
    <w:p w14:paraId="2C9BFC3C" w14:textId="77777777" w:rsidR="004F1641" w:rsidRDefault="004F1641" w:rsidP="003F43A7">
      <w:pPr>
        <w:sectPr w:rsidR="004F1641" w:rsidSect="004F1641">
          <w:pgSz w:w="16838" w:h="11906" w:orient="landscape"/>
          <w:pgMar w:top="1418" w:right="1418" w:bottom="1418" w:left="1418" w:header="709" w:footer="709" w:gutter="0"/>
          <w:cols w:space="708"/>
          <w:docGrid w:linePitch="360"/>
        </w:sectPr>
      </w:pPr>
    </w:p>
    <w:p w14:paraId="7CD125D9" w14:textId="37C4F5C7" w:rsidR="00E82112" w:rsidRDefault="00467C5E" w:rsidP="00467C5E">
      <w:pPr>
        <w:pStyle w:val="Naslov1"/>
        <w:spacing w:before="0"/>
      </w:pPr>
      <w:bookmarkStart w:id="5" w:name="_Toc191383839"/>
      <w:r w:rsidRPr="002E1975">
        <w:lastRenderedPageBreak/>
        <w:t>UTEMELJITEV SPREMEMBE PROGRAMA EVROPSKE KOHEZIJSKE POLITIKE 2021–2027</w:t>
      </w:r>
      <w:bookmarkEnd w:id="5"/>
    </w:p>
    <w:p w14:paraId="73126A75" w14:textId="77777777" w:rsidR="00466BD5" w:rsidRPr="0013137C" w:rsidRDefault="00466BD5" w:rsidP="00E5086D">
      <w:pPr>
        <w:spacing w:after="0"/>
      </w:pPr>
    </w:p>
    <w:p w14:paraId="2A592482" w14:textId="57AA3E62" w:rsidR="0013137C" w:rsidRDefault="0013137C" w:rsidP="00446D40">
      <w:pPr>
        <w:pStyle w:val="Naslov2"/>
        <w:numPr>
          <w:ilvl w:val="1"/>
          <w:numId w:val="2"/>
        </w:numPr>
        <w:spacing w:before="0"/>
      </w:pPr>
      <w:r>
        <w:t xml:space="preserve"> </w:t>
      </w:r>
      <w:bookmarkStart w:id="6" w:name="_Toc191383840"/>
      <w:r>
        <w:t>Vmesno poročilo o izvajanju PEKP</w:t>
      </w:r>
      <w:bookmarkEnd w:id="6"/>
    </w:p>
    <w:p w14:paraId="5632B5D6" w14:textId="77777777" w:rsidR="00E82112" w:rsidRPr="00614B57" w:rsidRDefault="00E82112" w:rsidP="00E82112">
      <w:pPr>
        <w:pStyle w:val="Brezrazmikov"/>
        <w:spacing w:line="264" w:lineRule="auto"/>
        <w:jc w:val="both"/>
        <w:rPr>
          <w:b/>
          <w:bCs/>
        </w:rPr>
      </w:pPr>
    </w:p>
    <w:p w14:paraId="1C695807" w14:textId="0128748C" w:rsidR="00E82112" w:rsidRPr="00760426" w:rsidRDefault="00E82112" w:rsidP="00E82112">
      <w:pPr>
        <w:pStyle w:val="Brezrazmikov"/>
        <w:spacing w:line="264" w:lineRule="auto"/>
        <w:jc w:val="both"/>
      </w:pPr>
      <w:r w:rsidRPr="00760426">
        <w:t>Vmesno poročilo izpostavlja ključne izzive pri implementaciji Programa evropske kohezijske politike 2021–2027 in opozarja na potrebo po prilagoditvah, ki bodo omogočile bolj učinkovito koriščenje sredstev ter doseganje</w:t>
      </w:r>
      <w:r w:rsidR="004B7A56">
        <w:t xml:space="preserve"> tako vmesni kot</w:t>
      </w:r>
      <w:r w:rsidRPr="00760426">
        <w:t xml:space="preserve"> strateških ciljev. Sprememba PEKP</w:t>
      </w:r>
      <w:r w:rsidR="004E42C1">
        <w:t xml:space="preserve"> </w:t>
      </w:r>
      <w:r w:rsidRPr="00760426">
        <w:t>je nujna, da Slovenija naslovi ugotovljene pomanjkljivosti in okrepi svojo vlogo v evropskem razvojnem prostoru.</w:t>
      </w:r>
    </w:p>
    <w:p w14:paraId="74358A21" w14:textId="77777777" w:rsidR="00E82112" w:rsidRPr="00760426" w:rsidRDefault="00E82112" w:rsidP="00E82112">
      <w:pPr>
        <w:pStyle w:val="Brezrazmikov"/>
        <w:spacing w:line="264" w:lineRule="auto"/>
        <w:jc w:val="both"/>
      </w:pPr>
    </w:p>
    <w:p w14:paraId="390BE907" w14:textId="30714464" w:rsidR="00E82112" w:rsidRPr="00760426" w:rsidRDefault="00E82112" w:rsidP="00446D40">
      <w:pPr>
        <w:pStyle w:val="Brezrazmikov"/>
        <w:numPr>
          <w:ilvl w:val="0"/>
          <w:numId w:val="24"/>
        </w:numPr>
        <w:spacing w:line="264" w:lineRule="auto"/>
        <w:jc w:val="both"/>
      </w:pPr>
      <w:r w:rsidRPr="00760426">
        <w:rPr>
          <w:b/>
          <w:bCs/>
        </w:rPr>
        <w:t>Spremenjene okoliščine in nove prioritete:</w:t>
      </w:r>
      <w:r w:rsidRPr="00760426">
        <w:t xml:space="preserve"> Naravne nesreče, kot so poplave leta 2023, ter hitro spreminjajoče se geopolitične in gospodarske razmere zahtevajo večjo prilagodljivost programskih ciljev. Slovenija mora okrepiti podnebno odpornost in zmanjšati ranljivost gospodarstva na zunanje šoke. Z usmerjanjem sredstev v digitalne in čiste tehnologije v skladu s cilji platforme STEP bo PEKP</w:t>
      </w:r>
      <w:r w:rsidR="004E42C1">
        <w:t xml:space="preserve"> </w:t>
      </w:r>
      <w:r w:rsidRPr="00760426">
        <w:t>omogočil prehod v bolj trajnostno in odporno gospodarstvo.</w:t>
      </w:r>
    </w:p>
    <w:p w14:paraId="0C765AD1" w14:textId="77777777" w:rsidR="00E82112" w:rsidRPr="00760426" w:rsidRDefault="00E82112" w:rsidP="00E82112">
      <w:pPr>
        <w:pStyle w:val="Brezrazmikov"/>
        <w:spacing w:line="264" w:lineRule="auto"/>
        <w:ind w:left="360"/>
        <w:jc w:val="both"/>
      </w:pPr>
    </w:p>
    <w:p w14:paraId="18F78C5C" w14:textId="1B2B345D" w:rsidR="00E82112" w:rsidRPr="00760426" w:rsidRDefault="00E82112" w:rsidP="00446D40">
      <w:pPr>
        <w:pStyle w:val="Brezrazmikov"/>
        <w:numPr>
          <w:ilvl w:val="0"/>
          <w:numId w:val="24"/>
        </w:numPr>
        <w:spacing w:line="264" w:lineRule="auto"/>
        <w:jc w:val="both"/>
      </w:pPr>
      <w:r w:rsidRPr="00760426">
        <w:rPr>
          <w:b/>
          <w:bCs/>
        </w:rPr>
        <w:t xml:space="preserve">Povečana skladnost z aktualnimi strateškimi cilji EU: </w:t>
      </w:r>
      <w:r w:rsidRPr="00760426">
        <w:t>Poročilo poudarja, da se Slovenija sooča z izzivi, kot so nizka rast produktivnosti, zaostanek za povprečjem EU in potreba po prehodu v pametno in zeleno gospodarstvo. Platforma STEP predstavlja ključni evropski mehanizem za podporo strateškim tehnologijam, katerih razvoj je bistven za krepitev evropske suverenosti in konkurenčnosti. Usmeritev v kritične tehnologije in sinergije s platformo STEP bo izboljšala skladnost PEKP z evropskimi strategijami ter okrepila vključenost Slovenije v projekte evropskega pomena.</w:t>
      </w:r>
      <w:r w:rsidR="1BB8DC57">
        <w:t xml:space="preserve"> </w:t>
      </w:r>
      <w:r w:rsidR="41DCECB3">
        <w:t xml:space="preserve">Posodobljeni Celoviti nacionalni energetski in podnebni načrt Republike Slovenije 2024 (NEPN) </w:t>
      </w:r>
      <w:r w:rsidR="205061F9">
        <w:t>prav tako predvideva ambici</w:t>
      </w:r>
      <w:r w:rsidR="69629883">
        <w:t>ozni pristop k</w:t>
      </w:r>
      <w:r w:rsidR="1BB8DC57">
        <w:t xml:space="preserve"> izpolnjevanjem ciljev energetske unije</w:t>
      </w:r>
      <w:r w:rsidR="05793D6F">
        <w:t xml:space="preserve">, </w:t>
      </w:r>
      <w:r w:rsidR="22B0F75A">
        <w:t xml:space="preserve">zlasti na področju energije iz obnovljivih virov in energijske učinkovitosti, </w:t>
      </w:r>
      <w:r w:rsidR="2F79EB58">
        <w:t xml:space="preserve">Direktiva o spodbujanju uporabe energije iz obnovljivih virov je zavezala Slovenijo k doseganju 25-odstotnega deleža energije iz obnovljivih virov v bruto končni rabi energije za leto 2020. Za leto 2030 je NEPN (2020) določil cilj vsaj 27 %, ki je bil s posodobljenim NEPN povišan na vsaj 33 % leta 2030. </w:t>
      </w:r>
      <w:r w:rsidR="3FDBB227">
        <w:t xml:space="preserve">Na področju energijske učinkovitosti za leto 2030 je bil s posodobljenim NEPN zvišan in sicer je sprejeti cilj zagotoviti sistematično izvajanje sprejetih politik in ukrepov, da raba končne energije ne bo presegla 50,2 </w:t>
      </w:r>
      <w:proofErr w:type="spellStart"/>
      <w:r w:rsidR="3FDBB227">
        <w:t>TWh</w:t>
      </w:r>
      <w:proofErr w:type="spellEnd"/>
      <w:r w:rsidR="3FDBB227">
        <w:t xml:space="preserve"> (4320 </w:t>
      </w:r>
      <w:proofErr w:type="spellStart"/>
      <w:r w:rsidR="3FDBB227">
        <w:t>ktoe</w:t>
      </w:r>
      <w:proofErr w:type="spellEnd"/>
      <w:r w:rsidR="3FDBB227">
        <w:t>).</w:t>
      </w:r>
    </w:p>
    <w:p w14:paraId="10616CB4" w14:textId="77777777" w:rsidR="00E82112" w:rsidRPr="00760426" w:rsidRDefault="00E82112" w:rsidP="00E82112">
      <w:pPr>
        <w:spacing w:after="0"/>
      </w:pPr>
    </w:p>
    <w:p w14:paraId="6BD05E97" w14:textId="73C3F889" w:rsidR="00E82112" w:rsidRPr="00760426" w:rsidRDefault="00E82112" w:rsidP="00446D40">
      <w:pPr>
        <w:pStyle w:val="Brezrazmikov"/>
        <w:numPr>
          <w:ilvl w:val="0"/>
          <w:numId w:val="25"/>
        </w:numPr>
        <w:spacing w:line="264" w:lineRule="auto"/>
        <w:jc w:val="both"/>
      </w:pPr>
      <w:r w:rsidRPr="00760426">
        <w:rPr>
          <w:b/>
          <w:bCs/>
        </w:rPr>
        <w:t>Počasno koriščenje sredstev za raziskave, razvoj in inovacije:</w:t>
      </w:r>
      <w:r w:rsidRPr="00760426">
        <w:t xml:space="preserve"> </w:t>
      </w:r>
      <w:r w:rsidRPr="00B9737C">
        <w:t>Poročilo ugotavlja</w:t>
      </w:r>
      <w:r w:rsidRPr="00760426">
        <w:t>, da izvajanje PEKP na prednostni nalogi 1 poteka počasneje od načrtovane dinamike, kar zavira preboj slovenskega inovacijskega sistema. Upočasnjena vlaganja v raziskovalno infrastrukturo in prenos znanja med raziskovalnimi institucijami in gospodarstvom še dodatno omejujejo konkurenčnost. Sprememba PEKP</w:t>
      </w:r>
      <w:r w:rsidR="004E42C1">
        <w:t xml:space="preserve"> </w:t>
      </w:r>
      <w:r w:rsidRPr="00760426">
        <w:t>z uvajanjem podpore projektom za razvoj in proizvodnjo kritičnih tehnologij, skupnim raziskovalnim projektom na področju biotehnologije, projektom s pečatom suverenosti ter podjetjem, vključenim v IPCEI, krepi inovacijsko in raziskovalno okolje, hkrati pa omogoča hitrejši prehod v pametno, zeleno in tehnološko suvereno gospodarstvo. Pečat suverenosti poleg potrjevanja skladnosti projektov s cilji platforme STEP prinaša tudi bistveno administrativno pohitritev za financiranje pozitivno ocenjenih projektov</w:t>
      </w:r>
      <w:r w:rsidR="004E42C1">
        <w:t xml:space="preserve"> slovenskih prijaviteljev</w:t>
      </w:r>
      <w:r w:rsidRPr="00760426">
        <w:t xml:space="preserve"> na centraliziranih razpisih</w:t>
      </w:r>
      <w:r w:rsidR="004E42C1">
        <w:t xml:space="preserve"> EU</w:t>
      </w:r>
      <w:r w:rsidRPr="00760426">
        <w:t xml:space="preserve">, kar omogoča </w:t>
      </w:r>
      <w:r w:rsidR="004E42C1" w:rsidRPr="00760426">
        <w:t>hitrejš</w:t>
      </w:r>
      <w:r w:rsidR="004E42C1">
        <w:t>e</w:t>
      </w:r>
      <w:r w:rsidR="004E42C1" w:rsidRPr="00760426">
        <w:t xml:space="preserve"> </w:t>
      </w:r>
      <w:r w:rsidR="004E42C1">
        <w:t>koriščenje</w:t>
      </w:r>
      <w:r w:rsidR="004E42C1" w:rsidRPr="00760426">
        <w:t xml:space="preserve"> </w:t>
      </w:r>
      <w:r w:rsidRPr="00760426">
        <w:t xml:space="preserve">sredstev za inovacije ter pospešuje uresničevanje strateških ciljev programa. Ta usmeritev bo omogočila učinkovitejše </w:t>
      </w:r>
      <w:r w:rsidR="008743E3">
        <w:t>koriščenje</w:t>
      </w:r>
      <w:r w:rsidRPr="00760426">
        <w:t xml:space="preserve"> sredstev in večji prispevek k dolgoročni konkurenčnosti Slovenije.</w:t>
      </w:r>
    </w:p>
    <w:p w14:paraId="0081AFA3" w14:textId="77777777" w:rsidR="00E82112" w:rsidRPr="00760426" w:rsidRDefault="00E82112" w:rsidP="00E82112">
      <w:pPr>
        <w:pStyle w:val="Brezrazmikov"/>
        <w:spacing w:line="264" w:lineRule="auto"/>
        <w:ind w:left="360"/>
        <w:jc w:val="both"/>
      </w:pPr>
    </w:p>
    <w:p w14:paraId="4D2040AB" w14:textId="752E5BC4" w:rsidR="00E82112" w:rsidRDefault="00E82112" w:rsidP="00DD52C8">
      <w:pPr>
        <w:pStyle w:val="Odstavekseznama"/>
        <w:numPr>
          <w:ilvl w:val="0"/>
          <w:numId w:val="25"/>
        </w:numPr>
        <w:spacing w:after="0"/>
        <w:jc w:val="both"/>
      </w:pPr>
      <w:r w:rsidRPr="004B7A56">
        <w:rPr>
          <w:b/>
          <w:bCs/>
        </w:rPr>
        <w:t xml:space="preserve">Potreba po večji absorpcijski zmogljivosti: </w:t>
      </w:r>
      <w:r w:rsidRPr="00760426">
        <w:t xml:space="preserve">Nizka stopnja koriščenja sredstev je </w:t>
      </w:r>
      <w:r w:rsidR="004B7A56">
        <w:t>tudi</w:t>
      </w:r>
      <w:r w:rsidR="004B7A56" w:rsidRPr="00760426">
        <w:t xml:space="preserve"> </w:t>
      </w:r>
      <w:r w:rsidRPr="00760426">
        <w:t xml:space="preserve">posledica prevelike administrativne obremenitve in zapletenih postopkov. To ovira učinkovitost izvajanja PEKP. Z bolj ciljno usmerjenimi razpisi in administrativnimi poenostavitvami bo Slovenija izboljšala </w:t>
      </w:r>
      <w:r w:rsidR="004E42C1">
        <w:t xml:space="preserve">koriščenje </w:t>
      </w:r>
      <w:r w:rsidRPr="00760426">
        <w:t>sredstev in učinkovitost izvajanja.</w:t>
      </w:r>
      <w:r w:rsidR="004B7A56" w:rsidRPr="004B7A56">
        <w:t xml:space="preserve"> Zaradi zamika pri izvajanju ukrepov v okviru PEKP je bilo do konca leta 2024 potrjenih le 25 % zneska načrtovanih operacij in izvedenih zgolj 2 % izplačil. Če ne ukrepamo pravočasno, obstaja resno tveganje, da Slovenija ne bo dosegla strateških ciljev in kazalnikov programa. V okvir PEKP se zato dodatno uvrstijo tudi projekti, ki so bili predviden za </w:t>
      </w:r>
      <w:r w:rsidR="004B7A56" w:rsidRPr="004B7A56">
        <w:lastRenderedPageBreak/>
        <w:t>sofinanciranje iz drugih EU virov ali proračuna RS s predvideno realizacijo v 2025 in 2026, ki lahko bistveno pospešijo izvajanje.</w:t>
      </w:r>
    </w:p>
    <w:p w14:paraId="07034992" w14:textId="77777777" w:rsidR="00DD52C8" w:rsidRPr="00760426" w:rsidRDefault="00DD52C8" w:rsidP="00DD52C8">
      <w:pPr>
        <w:spacing w:after="0"/>
        <w:jc w:val="both"/>
      </w:pPr>
    </w:p>
    <w:p w14:paraId="5C8D974C" w14:textId="09171F9A" w:rsidR="00E82112" w:rsidRDefault="00E82112" w:rsidP="00E82112">
      <w:pPr>
        <w:pStyle w:val="Brezrazmikov"/>
        <w:spacing w:line="264" w:lineRule="auto"/>
        <w:jc w:val="both"/>
      </w:pPr>
      <w:r w:rsidRPr="00760426">
        <w:t>Sprememba PEKP na podlagi ugotovitev vmesnega poročila je nujna za izboljšanje izvajanja programa, zmanjšanje razvojnih razlik in uskladitev s strateškimi cilji EU. Uvedba specifičnega cilja za razvoj in proizvodnjo kritičnih tehnologij bo omogočila učinkovitejše koriščenje sredstev, spodbujanje inovacij in trajnostnega razvoja ter večjo konkurenčnost in odpornost slovenskega gospodarstva.</w:t>
      </w:r>
    </w:p>
    <w:p w14:paraId="417F2296" w14:textId="77777777" w:rsidR="00B45C2D" w:rsidRDefault="00B45C2D" w:rsidP="00E82112">
      <w:pPr>
        <w:pStyle w:val="Brezrazmikov"/>
        <w:spacing w:line="264" w:lineRule="auto"/>
        <w:jc w:val="both"/>
      </w:pPr>
    </w:p>
    <w:p w14:paraId="6D3E304B" w14:textId="0F49DFBB" w:rsidR="00E82112" w:rsidRDefault="00E82112" w:rsidP="00446D40">
      <w:pPr>
        <w:pStyle w:val="Naslov2"/>
        <w:numPr>
          <w:ilvl w:val="1"/>
          <w:numId w:val="2"/>
        </w:numPr>
      </w:pPr>
      <w:bookmarkStart w:id="7" w:name="_Toc191383841"/>
      <w:r w:rsidRPr="59322637">
        <w:t>Poročilo o produktivnosti</w:t>
      </w:r>
      <w:bookmarkEnd w:id="7"/>
    </w:p>
    <w:p w14:paraId="03276B98" w14:textId="77777777" w:rsidR="00E5086D" w:rsidRPr="00E5086D" w:rsidRDefault="00E5086D" w:rsidP="00E5086D">
      <w:pPr>
        <w:spacing w:after="0"/>
      </w:pPr>
    </w:p>
    <w:p w14:paraId="05CFA73C" w14:textId="59DBCE08" w:rsidR="00E82112" w:rsidRDefault="00E82112" w:rsidP="00E82112">
      <w:pPr>
        <w:pStyle w:val="Brezrazmikov"/>
        <w:spacing w:line="264" w:lineRule="auto"/>
        <w:jc w:val="both"/>
      </w:pPr>
      <w:r>
        <w:t>UMAR</w:t>
      </w:r>
      <w:r w:rsidR="004F2CE6">
        <w:t xml:space="preserve"> v</w:t>
      </w:r>
      <w:r>
        <w:t xml:space="preserve"> </w:t>
      </w:r>
      <w:r w:rsidRPr="008C47C4">
        <w:t>Poročil</w:t>
      </w:r>
      <w:r w:rsidR="004F2CE6">
        <w:t>u</w:t>
      </w:r>
      <w:r w:rsidRPr="008C47C4">
        <w:t xml:space="preserve"> o produktivnosti 2023</w:t>
      </w:r>
      <w:r>
        <w:rPr>
          <w:rStyle w:val="Sprotnaopomba-sklic"/>
        </w:rPr>
        <w:footnoteReference w:id="2"/>
      </w:r>
      <w:r>
        <w:t xml:space="preserve"> </w:t>
      </w:r>
      <w:r w:rsidRPr="008C47C4">
        <w:t>izpostavlja ključne razvojne izzive Slovenije na področju gospodarske konkurenčnosti, inovacijske dejavnosti in trajnostne preobrazbe. Poročilo poudarja, da je rast produktivnosti v Sloveniji prepočasna za učinkovito zapiranje razvojne vrzeli v primerjavi z najbolj razvitimi državami EU.</w:t>
      </w:r>
    </w:p>
    <w:p w14:paraId="6D89F510" w14:textId="77777777" w:rsidR="00E82112" w:rsidRPr="008C47C4" w:rsidRDefault="00E82112" w:rsidP="00E82112">
      <w:pPr>
        <w:pStyle w:val="Brezrazmikov"/>
        <w:spacing w:line="264" w:lineRule="auto"/>
        <w:jc w:val="both"/>
      </w:pPr>
    </w:p>
    <w:p w14:paraId="0A4F5130" w14:textId="572416A2" w:rsidR="00E82112" w:rsidRDefault="00E82112" w:rsidP="00446D40">
      <w:pPr>
        <w:pStyle w:val="Brezrazmikov"/>
        <w:numPr>
          <w:ilvl w:val="0"/>
          <w:numId w:val="20"/>
        </w:numPr>
        <w:spacing w:line="264" w:lineRule="auto"/>
        <w:jc w:val="both"/>
      </w:pPr>
      <w:r w:rsidRPr="59322637">
        <w:rPr>
          <w:b/>
          <w:bCs/>
        </w:rPr>
        <w:t>Nizka rast produktivnosti kot osrednji izziv:</w:t>
      </w:r>
      <w:r>
        <w:t xml:space="preserve"> Rast produktivnosti v Sloveniji zaostaja zaradi premajhnih vlaganj v neoprijemljiv kapital, kot so raziskave, razvoj, inovacije in digitalizacija. Slovenija ima posebno težavo z inovacijsko dejavnostjo MSP, ki ostaja pod povprečjem EU. Operativne potrebe PEKP</w:t>
      </w:r>
      <w:r w:rsidR="004E42C1">
        <w:t xml:space="preserve"> </w:t>
      </w:r>
      <w:r>
        <w:t>vključujejo ciljno usmerjene ukrepe za podporo raziskavam in razvoju, zlasti v podjetjih, kar neposredno prispeva k rasti produktivnosti in konkurenčnosti.</w:t>
      </w:r>
    </w:p>
    <w:p w14:paraId="4B2B709C" w14:textId="77777777" w:rsidR="00E82112" w:rsidRPr="009948AF" w:rsidRDefault="00E82112" w:rsidP="00E82112">
      <w:pPr>
        <w:pStyle w:val="Brezrazmikov"/>
        <w:spacing w:line="264" w:lineRule="auto"/>
        <w:ind w:left="360"/>
        <w:jc w:val="both"/>
      </w:pPr>
    </w:p>
    <w:p w14:paraId="1FEA4E3E" w14:textId="1E852DD4" w:rsidR="00E82112" w:rsidRDefault="00E82112" w:rsidP="00446D40">
      <w:pPr>
        <w:pStyle w:val="Brezrazmikov"/>
        <w:numPr>
          <w:ilvl w:val="0"/>
          <w:numId w:val="20"/>
        </w:numPr>
        <w:spacing w:line="264" w:lineRule="auto"/>
        <w:jc w:val="both"/>
      </w:pPr>
      <w:r w:rsidRPr="59322637">
        <w:rPr>
          <w:b/>
          <w:bCs/>
        </w:rPr>
        <w:t xml:space="preserve">Pomanjkljiva vlaganja v digitalno in zeleno preobrazbo: </w:t>
      </w:r>
      <w:r>
        <w:t>Slovenija zaostaja za povprečjem EU pri vlaganjih v digitalno infrastrukturo in tehnologije, ki so osnova za digitalno preobrazbo gospodarstva. Prav tako so vlaganja v trajnostne tehnologije, kot so obnovljivi viri energije in krožno gospodarstvo, nezadostna. Sprememba PEKP omogoča usmeritev sredstev v digitalne in zelene tehnologije skladno z ambicijami platforme STEP, kar bo spodbudilo trajnostni razvoj in konkurenčnost gospodarstva.</w:t>
      </w:r>
    </w:p>
    <w:p w14:paraId="43265D88" w14:textId="77777777" w:rsidR="00E82112" w:rsidRPr="009948AF" w:rsidRDefault="00E82112" w:rsidP="00E82112">
      <w:pPr>
        <w:pStyle w:val="Brezrazmikov"/>
        <w:spacing w:line="264" w:lineRule="auto"/>
        <w:ind w:left="360"/>
        <w:jc w:val="both"/>
      </w:pPr>
    </w:p>
    <w:p w14:paraId="7AC87603" w14:textId="20DB6618" w:rsidR="00E82112" w:rsidRDefault="00E82112" w:rsidP="00446D40">
      <w:pPr>
        <w:pStyle w:val="Brezrazmikov"/>
        <w:numPr>
          <w:ilvl w:val="0"/>
          <w:numId w:val="20"/>
        </w:numPr>
        <w:spacing w:line="264" w:lineRule="auto"/>
        <w:jc w:val="both"/>
      </w:pPr>
      <w:r w:rsidRPr="59322637">
        <w:rPr>
          <w:b/>
          <w:bCs/>
        </w:rPr>
        <w:t xml:space="preserve">Pomanjkanje kompetenc in kadrov za tehnološki preboj: </w:t>
      </w:r>
      <w:r>
        <w:t>Poročilo o produktivnosti</w:t>
      </w:r>
      <w:r w:rsidR="00B9737C">
        <w:rPr>
          <w:rStyle w:val="Sprotnaopomba-sklic"/>
        </w:rPr>
        <w:footnoteReference w:id="3"/>
      </w:r>
      <w:r>
        <w:t xml:space="preserve"> opozarja na kritično pomanjkanje visoko usposobljenih kadrov, zlasti v sektorjih, ki so ključni za digitalno in zeleno preobrazbo. Slovenija mora povečati vlaganja v izobraževanje, prekvalifikacije in pridobivanje spretnosti, ki so usklajene z zahtevami prihodnosti. Sprememba PEKP omogoča podporo projektom za razvoj znanj in spretnosti, zlasti za delovna mesta v strateških sektorjih, kar je ključno za trajnostno rast produktivnosti.</w:t>
      </w:r>
    </w:p>
    <w:p w14:paraId="6F735520" w14:textId="77777777" w:rsidR="00E82112" w:rsidRPr="009948AF" w:rsidRDefault="00E82112" w:rsidP="00E82112">
      <w:pPr>
        <w:pStyle w:val="Brezrazmikov"/>
        <w:spacing w:line="264" w:lineRule="auto"/>
        <w:ind w:left="360"/>
        <w:jc w:val="both"/>
      </w:pPr>
    </w:p>
    <w:p w14:paraId="77645AF4" w14:textId="6D9CC431" w:rsidR="00E82112" w:rsidRDefault="00E82112" w:rsidP="00446D40">
      <w:pPr>
        <w:pStyle w:val="Brezrazmikov"/>
        <w:numPr>
          <w:ilvl w:val="0"/>
          <w:numId w:val="20"/>
        </w:numPr>
        <w:spacing w:line="264" w:lineRule="auto"/>
        <w:jc w:val="both"/>
      </w:pPr>
      <w:r w:rsidRPr="59322637">
        <w:rPr>
          <w:b/>
          <w:bCs/>
        </w:rPr>
        <w:t>Nujnost večje podpore raziskovalno-razvojni infrastrukturi:</w:t>
      </w:r>
      <w:r>
        <w:t xml:space="preserve"> Pomanjkljiva raziskovalna infrastruktura ovira prenos znanja in sodelovanje med raziskovalnimi institucijami in gospodarstvom. Slovenija potrebuje posodobljeno infrastrukturo, ki omogoča razvoj in implementacijo prebojnih tehnologij. Operativne potrebe PEKP vključujejo usmerjena vlaganja v raziskovalno infrastrukturo, kar bo spodbudilo sodelovanje med znanostjo in gospodarstvom ter povečalo inovacijski potencial.</w:t>
      </w:r>
    </w:p>
    <w:p w14:paraId="5B1B66E6" w14:textId="77777777" w:rsidR="00E82112" w:rsidRDefault="00E82112" w:rsidP="00E82112">
      <w:pPr>
        <w:spacing w:after="0"/>
      </w:pPr>
    </w:p>
    <w:p w14:paraId="60024B3C" w14:textId="33AEC284" w:rsidR="00E82112" w:rsidRPr="009948AF" w:rsidRDefault="00E82112" w:rsidP="00E82112">
      <w:pPr>
        <w:pStyle w:val="Brezrazmikov"/>
        <w:spacing w:line="264" w:lineRule="auto"/>
        <w:jc w:val="both"/>
      </w:pPr>
      <w:r>
        <w:t>Skladno z ugotovitvami Poročila o produktivnosti 2023</w:t>
      </w:r>
      <w:r w:rsidR="003D7EDC">
        <w:rPr>
          <w:rStyle w:val="Sprotnaopomba-sklic"/>
        </w:rPr>
        <w:footnoteReference w:id="4"/>
      </w:r>
      <w:r>
        <w:t xml:space="preserve"> je sprememba PEKP</w:t>
      </w:r>
      <w:r w:rsidR="004E42C1">
        <w:t xml:space="preserve"> </w:t>
      </w:r>
      <w:r>
        <w:t xml:space="preserve">z uvedbo novega specifičnega cilja </w:t>
      </w:r>
      <w:r w:rsidRPr="000B3E1A">
        <w:rPr>
          <w:i/>
          <w:iCs/>
        </w:rPr>
        <w:t>Razvoj ali proizvodnja kritičnih tehnologij</w:t>
      </w:r>
      <w:r>
        <w:t xml:space="preserve"> ključna za naslavljanje ugotovitev Poročila o produktivnosti – nizke rasti produktivnosti, pomanjkljivih vlaganj v digitalno in zeleno preobrazbo ter pomanjkanja kompetenc v strateških sektorjih. Sprememba bo prispevala k izboljšanju inovacijskega okolja, podpori MSP in tudi velikim podjetjem, kar bo okrepilo konkurenčnost in odpornost slovenskega gospodarstva v skladu z evropskimi cilji.</w:t>
      </w:r>
    </w:p>
    <w:p w14:paraId="530D1BBB" w14:textId="77777777" w:rsidR="00E82112" w:rsidRDefault="00E82112" w:rsidP="00E00C61">
      <w:pPr>
        <w:pStyle w:val="Brezrazmikov"/>
        <w:spacing w:line="264" w:lineRule="auto"/>
        <w:jc w:val="both"/>
      </w:pPr>
    </w:p>
    <w:p w14:paraId="6A76189E" w14:textId="77777777" w:rsidR="00A55D4D" w:rsidRDefault="00A55D4D" w:rsidP="00E00C61">
      <w:pPr>
        <w:pStyle w:val="Brezrazmikov"/>
        <w:spacing w:line="264" w:lineRule="auto"/>
        <w:jc w:val="both"/>
      </w:pPr>
    </w:p>
    <w:p w14:paraId="0033F5BF" w14:textId="77777777" w:rsidR="00A55D4D" w:rsidRPr="008C47C4" w:rsidRDefault="00A55D4D" w:rsidP="00E00C61">
      <w:pPr>
        <w:pStyle w:val="Brezrazmikov"/>
        <w:spacing w:line="264" w:lineRule="auto"/>
        <w:jc w:val="both"/>
      </w:pPr>
    </w:p>
    <w:p w14:paraId="38EDB418" w14:textId="19E1EBC5" w:rsidR="00E82112" w:rsidRDefault="00E82112" w:rsidP="00446D40">
      <w:pPr>
        <w:pStyle w:val="Naslov2"/>
        <w:numPr>
          <w:ilvl w:val="1"/>
          <w:numId w:val="2"/>
        </w:numPr>
        <w:spacing w:before="0"/>
      </w:pPr>
      <w:bookmarkStart w:id="8" w:name="_Toc191383842"/>
      <w:r w:rsidRPr="59322637">
        <w:lastRenderedPageBreak/>
        <w:t>Prihodnost evropske konkurenčnosti</w:t>
      </w:r>
      <w:bookmarkEnd w:id="8"/>
    </w:p>
    <w:p w14:paraId="25B87903" w14:textId="77777777" w:rsidR="0013137C" w:rsidRPr="0013137C" w:rsidRDefault="0013137C" w:rsidP="0013137C">
      <w:pPr>
        <w:spacing w:after="0"/>
      </w:pPr>
    </w:p>
    <w:p w14:paraId="1222CA6C" w14:textId="77777777" w:rsidR="00E82112" w:rsidRDefault="00E82112" w:rsidP="00B45C2D">
      <w:pPr>
        <w:pStyle w:val="Brezrazmikov"/>
        <w:spacing w:line="264" w:lineRule="auto"/>
        <w:jc w:val="both"/>
      </w:pPr>
      <w:r w:rsidRPr="009948AF">
        <w:t xml:space="preserve">Evropska unija, vključno s Slovenijo, se sooča z izrazitimi geopolitičnimi, gospodarskimi in tehnološkimi izzivi, ki jih poudarja t. i. </w:t>
      </w:r>
      <w:proofErr w:type="spellStart"/>
      <w:r w:rsidRPr="009948AF">
        <w:t>Draghijevo</w:t>
      </w:r>
      <w:proofErr w:type="spellEnd"/>
      <w:r w:rsidRPr="009948AF">
        <w:t xml:space="preserve"> poročilo, »Prihodnost evropske konkurenčnosti«</w:t>
      </w:r>
      <w:r w:rsidRPr="009948AF">
        <w:rPr>
          <w:rStyle w:val="Sprotnaopomba-sklic"/>
        </w:rPr>
        <w:footnoteReference w:id="5"/>
      </w:r>
      <w:r w:rsidRPr="009948AF">
        <w:t xml:space="preserve">. Ključni poudarki poročila kažejo na nujnost krepitve strateške avtonomije in odpornosti EU prek usmerjenih naložb v strateške tehnologije, boljše integracije verig </w:t>
      </w:r>
      <w:r>
        <w:t xml:space="preserve">vrednosti </w:t>
      </w:r>
      <w:r w:rsidRPr="009948AF">
        <w:t>in izboljšanja inovacijskega ekosistema.</w:t>
      </w:r>
    </w:p>
    <w:p w14:paraId="660BC255" w14:textId="77777777" w:rsidR="00B45C2D" w:rsidRPr="009948AF" w:rsidRDefault="00B45C2D" w:rsidP="00B45C2D">
      <w:pPr>
        <w:pStyle w:val="Brezrazmikov"/>
        <w:spacing w:line="264" w:lineRule="auto"/>
        <w:jc w:val="both"/>
      </w:pPr>
    </w:p>
    <w:p w14:paraId="5BBC5292" w14:textId="750A7CE4" w:rsidR="00E82112" w:rsidRDefault="00E82112" w:rsidP="00446D40">
      <w:pPr>
        <w:pStyle w:val="Brezrazmikov"/>
        <w:numPr>
          <w:ilvl w:val="0"/>
          <w:numId w:val="21"/>
        </w:numPr>
        <w:spacing w:line="264" w:lineRule="auto"/>
        <w:jc w:val="both"/>
      </w:pPr>
      <w:r w:rsidRPr="59322637">
        <w:rPr>
          <w:b/>
          <w:bCs/>
        </w:rPr>
        <w:t xml:space="preserve">Pomanjkanje strateških vlaganj v tehnologije prihodnosti: </w:t>
      </w:r>
      <w:proofErr w:type="spellStart"/>
      <w:r>
        <w:t>Draghijevo</w:t>
      </w:r>
      <w:proofErr w:type="spellEnd"/>
      <w:r>
        <w:t xml:space="preserve"> poročilo izpostavlja, da je Evropa zaostala za globalnimi konkurenti, kot so ZDA in Kitajska, na področju naprednih tehnologij, predvsem digitalnih rešitev, čistih tehnologij in biotehnologij. Ta zaostanek ogroža konkurenčnost EU in povečuje odvisnost od zunanjih dobaviteljev. Operativne potrebe PEKP zahtevajo jasno usmeritev sredstev v podporo raziskavam, razvoju in proizvodnji teh ključnih tehnologij, kar je tudi v skladu s cilji platforme STEP.</w:t>
      </w:r>
      <w:r w:rsidR="00272667">
        <w:rPr>
          <w:rStyle w:val="Sprotnaopomba-sklic"/>
        </w:rPr>
        <w:footnoteReference w:id="6"/>
      </w:r>
    </w:p>
    <w:p w14:paraId="3711FC84" w14:textId="77777777" w:rsidR="003C7AB9" w:rsidRDefault="003C7AB9" w:rsidP="003C7AB9">
      <w:pPr>
        <w:pStyle w:val="Brezrazmikov"/>
        <w:spacing w:line="264" w:lineRule="auto"/>
        <w:ind w:left="360"/>
        <w:jc w:val="both"/>
      </w:pPr>
    </w:p>
    <w:p w14:paraId="62B893DD" w14:textId="279FD3F2" w:rsidR="00E82112" w:rsidRDefault="00E82112" w:rsidP="00446D40">
      <w:pPr>
        <w:pStyle w:val="Brezrazmikov"/>
        <w:numPr>
          <w:ilvl w:val="0"/>
          <w:numId w:val="21"/>
        </w:numPr>
        <w:spacing w:line="264" w:lineRule="auto"/>
        <w:jc w:val="both"/>
      </w:pPr>
      <w:r w:rsidRPr="59322637">
        <w:rPr>
          <w:b/>
          <w:bCs/>
        </w:rPr>
        <w:t>Krepitev strateške avtonomije in odpornosti:</w:t>
      </w:r>
      <w:r>
        <w:t xml:space="preserve"> Geopolitične napetosti ogrožajo evropsko tehnološko suverenost. </w:t>
      </w:r>
      <w:proofErr w:type="spellStart"/>
      <w:r>
        <w:t>Draghijevo</w:t>
      </w:r>
      <w:proofErr w:type="spellEnd"/>
      <w:r>
        <w:t xml:space="preserve"> poročilo priporoča ciljno usmerjene projekte za razvoj evropskih verig vrednosti in zmanjšanje teh odvisnosti. Sprememba PEKP z uvedbo specifičnega cilja za razvoj in proizvodnjo v ključnih strateških sektorjih omogoča Sloveniji, da krepi svoje razvojne potenciale na teh področjih in se še bolj intenzivno vključuje v evropske projekte (s pečatom suverenosti in IPCEI) ter prispeva k razvoju domačih in evropskih verig vrednosti.</w:t>
      </w:r>
    </w:p>
    <w:p w14:paraId="77FB5B2B" w14:textId="77777777" w:rsidR="00B45C2D" w:rsidRPr="009948AF" w:rsidRDefault="00B45C2D" w:rsidP="00B45C2D">
      <w:pPr>
        <w:pStyle w:val="Brezrazmikov"/>
        <w:spacing w:line="264" w:lineRule="auto"/>
        <w:ind w:left="360"/>
        <w:jc w:val="both"/>
      </w:pPr>
    </w:p>
    <w:p w14:paraId="5E0D638B" w14:textId="3992B1CC" w:rsidR="00E82112" w:rsidRDefault="00E82112" w:rsidP="00446D40">
      <w:pPr>
        <w:pStyle w:val="Brezrazmikov"/>
        <w:numPr>
          <w:ilvl w:val="0"/>
          <w:numId w:val="21"/>
        </w:numPr>
        <w:spacing w:line="264" w:lineRule="auto"/>
        <w:jc w:val="both"/>
      </w:pPr>
      <w:r w:rsidRPr="59322637">
        <w:rPr>
          <w:b/>
          <w:bCs/>
        </w:rPr>
        <w:t>Dvig produktivnosti in konkurenčnosti:</w:t>
      </w:r>
      <w:r>
        <w:t xml:space="preserve"> </w:t>
      </w:r>
      <w:proofErr w:type="spellStart"/>
      <w:r>
        <w:t>Draghijevo</w:t>
      </w:r>
      <w:proofErr w:type="spellEnd"/>
      <w:r>
        <w:t xml:space="preserve"> poročilo poudarja, da je dvig produktivnosti ključnega pomena za financiranje evropske zelene in digitalne preobrazbe. V Sloveniji je rast produktivnosti zavrta zaradi premalo vlaganj v neoprijemljiv kapital (RRI, digitalizacija, človeški viri). Operativne potrebe PEKP</w:t>
      </w:r>
      <w:r w:rsidR="00D95260">
        <w:t xml:space="preserve"> </w:t>
      </w:r>
      <w:r>
        <w:t>vključujejo ciljno usmerjena vlaganja v digitalne in zelene projekte, ki bodo dvignil</w:t>
      </w:r>
      <w:r w:rsidR="00D95260">
        <w:t>a</w:t>
      </w:r>
      <w:r>
        <w:t xml:space="preserve"> produktivnost in konkurenčnost slovenskega gospodarstva, zlasti prek podpore inovacijskim dejavnostim MSP, pa tudi velikih podjetij, skladno s platformo STEP.</w:t>
      </w:r>
    </w:p>
    <w:p w14:paraId="5BD80A94" w14:textId="77777777" w:rsidR="00E82112" w:rsidRPr="009948AF" w:rsidRDefault="00E82112" w:rsidP="00E82112">
      <w:pPr>
        <w:pStyle w:val="Brezrazmikov"/>
        <w:spacing w:line="264" w:lineRule="auto"/>
        <w:ind w:left="360"/>
        <w:jc w:val="both"/>
      </w:pPr>
    </w:p>
    <w:p w14:paraId="42B0B8AB" w14:textId="6943F415" w:rsidR="00E82112" w:rsidRDefault="00E82112" w:rsidP="00446D40">
      <w:pPr>
        <w:pStyle w:val="Brezrazmikov"/>
        <w:numPr>
          <w:ilvl w:val="0"/>
          <w:numId w:val="21"/>
        </w:numPr>
        <w:spacing w:line="264" w:lineRule="auto"/>
        <w:jc w:val="both"/>
      </w:pPr>
      <w:r w:rsidRPr="08475B92">
        <w:rPr>
          <w:b/>
          <w:bCs/>
        </w:rPr>
        <w:t xml:space="preserve">Pomanjkanje znanj in kompetenc: </w:t>
      </w:r>
      <w:r>
        <w:t xml:space="preserve">Razvoj in proizvodnja strateških tehnologij zahtevata visoko kvalificirano delovno silo, kar predstavlja velik izziv. </w:t>
      </w:r>
      <w:proofErr w:type="spellStart"/>
      <w:r>
        <w:t>Draghijevo</w:t>
      </w:r>
      <w:proofErr w:type="spellEnd"/>
      <w:r>
        <w:t xml:space="preserve"> poročilo priporoča okrepitev programov za izobraževanje, usposabljanje in prekvalifikacijo, ki so ključni za podporo strateškim sektorjem. Sprememba PEKP omogoča vključitev projektov za razvoj znanj in kompetenc na področju kritičnih tehnologij</w:t>
      </w:r>
      <w:r w:rsidR="3E188FB0">
        <w:t>.</w:t>
      </w:r>
    </w:p>
    <w:p w14:paraId="1B617D3B" w14:textId="77777777" w:rsidR="00E82112" w:rsidRPr="009948AF" w:rsidRDefault="00E82112" w:rsidP="00E82112">
      <w:pPr>
        <w:pStyle w:val="Brezrazmikov"/>
        <w:spacing w:line="264" w:lineRule="auto"/>
        <w:ind w:left="360"/>
        <w:jc w:val="both"/>
      </w:pPr>
    </w:p>
    <w:p w14:paraId="10A9448D" w14:textId="7C004AE4" w:rsidR="00E82112" w:rsidRDefault="00E82112" w:rsidP="00446D40">
      <w:pPr>
        <w:pStyle w:val="Brezrazmikov"/>
        <w:numPr>
          <w:ilvl w:val="0"/>
          <w:numId w:val="21"/>
        </w:numPr>
        <w:spacing w:line="264" w:lineRule="auto"/>
        <w:jc w:val="both"/>
      </w:pPr>
      <w:r w:rsidRPr="59322637">
        <w:rPr>
          <w:b/>
          <w:bCs/>
        </w:rPr>
        <w:t>Sinergije s platformo STEP:</w:t>
      </w:r>
      <w:r>
        <w:t xml:space="preserve"> Platforma STEP je zasnovana za podporo projektom, ki naslavljajo enake prioritete, kot jih poudarja </w:t>
      </w:r>
      <w:proofErr w:type="spellStart"/>
      <w:r>
        <w:t>Draghijevo</w:t>
      </w:r>
      <w:proofErr w:type="spellEnd"/>
      <w:r>
        <w:t xml:space="preserve"> poročilo. Sprememba PEKP</w:t>
      </w:r>
      <w:r w:rsidR="00D95260">
        <w:t xml:space="preserve"> </w:t>
      </w:r>
      <w:r>
        <w:t>podpira razvoj strateških projektov, skladnih s cilji STEP, vključno s projekti s pečatom suverenosti, IPCEI in mednarodnimi raziskovalnimi pobudami.</w:t>
      </w:r>
    </w:p>
    <w:p w14:paraId="75E9ACA9" w14:textId="77777777" w:rsidR="00E82112" w:rsidRDefault="00E82112" w:rsidP="00E82112">
      <w:pPr>
        <w:spacing w:after="0"/>
      </w:pPr>
    </w:p>
    <w:p w14:paraId="48B79330" w14:textId="5561252D" w:rsidR="00E82112" w:rsidRDefault="00E82112" w:rsidP="00E82112">
      <w:pPr>
        <w:pStyle w:val="Brezrazmikov"/>
        <w:spacing w:line="264" w:lineRule="auto"/>
        <w:jc w:val="both"/>
      </w:pPr>
      <w:r>
        <w:t xml:space="preserve">Skladno z ugotovitvami </w:t>
      </w:r>
      <w:proofErr w:type="spellStart"/>
      <w:r>
        <w:t>Draghijevega</w:t>
      </w:r>
      <w:proofErr w:type="spellEnd"/>
      <w:r>
        <w:t xml:space="preserve"> poročila in platforme STEP je uvedba specifičnega cilja </w:t>
      </w:r>
      <w:r w:rsidRPr="000B3E1A">
        <w:rPr>
          <w:i/>
          <w:iCs/>
        </w:rPr>
        <w:t>Razvoj ali proizvodnja kritičnih tehnologij</w:t>
      </w:r>
      <w:r>
        <w:t xml:space="preserve"> ključnega pomena za dosego strateške avtonomije in konkurenčnosti Slovenije ter EU. Sprememba PEKP</w:t>
      </w:r>
      <w:r w:rsidR="00D95260">
        <w:t xml:space="preserve"> </w:t>
      </w:r>
      <w:r>
        <w:t xml:space="preserve">bo omogočila boljše </w:t>
      </w:r>
      <w:r w:rsidR="004C5D8A">
        <w:t>korišče</w:t>
      </w:r>
      <w:r>
        <w:t>nje evropskih sredstev in podporo projektom z visoko dodano vrednostjo, ki bodo prispevali k trajnostni rasti, odpornosti in razvoju strateških sektorjev.</w:t>
      </w:r>
    </w:p>
    <w:p w14:paraId="5CB42B09" w14:textId="77777777" w:rsidR="00670DB8" w:rsidRPr="009948AF" w:rsidRDefault="00670DB8" w:rsidP="00E82112">
      <w:pPr>
        <w:pStyle w:val="Brezrazmikov"/>
        <w:spacing w:line="264" w:lineRule="auto"/>
        <w:jc w:val="both"/>
      </w:pPr>
    </w:p>
    <w:p w14:paraId="38E9F11C" w14:textId="16289E0C" w:rsidR="00E82112" w:rsidRDefault="00E82112" w:rsidP="00446D40">
      <w:pPr>
        <w:pStyle w:val="Naslov2"/>
        <w:numPr>
          <w:ilvl w:val="1"/>
          <w:numId w:val="2"/>
        </w:numPr>
        <w:spacing w:before="0"/>
      </w:pPr>
      <w:bookmarkStart w:id="9" w:name="_Toc191383843"/>
      <w:r w:rsidRPr="59322637">
        <w:t>Platforma STEP</w:t>
      </w:r>
      <w:bookmarkEnd w:id="9"/>
    </w:p>
    <w:p w14:paraId="689EA7D6" w14:textId="77777777" w:rsidR="00E82112" w:rsidRPr="00237277" w:rsidRDefault="00E82112" w:rsidP="00E82112">
      <w:pPr>
        <w:pStyle w:val="Brezrazmikov"/>
        <w:spacing w:line="264" w:lineRule="auto"/>
        <w:jc w:val="both"/>
      </w:pPr>
    </w:p>
    <w:p w14:paraId="01D39B7D" w14:textId="403DCCC3" w:rsidR="00E82112" w:rsidRDefault="00E82112" w:rsidP="00E82112">
      <w:pPr>
        <w:pStyle w:val="Brezrazmikov"/>
        <w:spacing w:line="264" w:lineRule="auto"/>
        <w:jc w:val="both"/>
      </w:pPr>
      <w:r w:rsidRPr="009948AF">
        <w:t>Platforma STEP</w:t>
      </w:r>
      <w:r w:rsidRPr="009948AF">
        <w:rPr>
          <w:rStyle w:val="Sprotnaopomba-sklic"/>
        </w:rPr>
        <w:footnoteReference w:id="7"/>
      </w:r>
      <w:r w:rsidRPr="009948AF">
        <w:t xml:space="preserve"> je zasnovana kot ključna evropska pobuda za podporo razvoju strateških tehnologij in zmanjšanje tehnološke odvisnosti EU. Njen cilj je doseganje večje evropske suverenosti, konkurenčnosti in odpornosti. Sprememba PEKP je potrebna</w:t>
      </w:r>
      <w:r w:rsidR="0054539C">
        <w:t xml:space="preserve"> zato</w:t>
      </w:r>
      <w:r w:rsidRPr="009948AF">
        <w:t>, da Slovenija izkoristi priložnosti, ki jih ponuja platforma STEP, in se</w:t>
      </w:r>
      <w:r w:rsidR="0054539C">
        <w:t xml:space="preserve"> tako</w:t>
      </w:r>
      <w:r w:rsidRPr="009948AF">
        <w:t xml:space="preserve"> bolje vključi v evropske verige</w:t>
      </w:r>
      <w:r>
        <w:t xml:space="preserve"> </w:t>
      </w:r>
      <w:r w:rsidRPr="009948AF">
        <w:t>vrednost</w:t>
      </w:r>
      <w:r>
        <w:t>i</w:t>
      </w:r>
      <w:r w:rsidRPr="009948AF">
        <w:t>.</w:t>
      </w:r>
    </w:p>
    <w:p w14:paraId="57C45005" w14:textId="77777777" w:rsidR="00E82112" w:rsidRPr="009948AF" w:rsidRDefault="00E82112" w:rsidP="00E82112">
      <w:pPr>
        <w:pStyle w:val="Brezrazmikov"/>
        <w:spacing w:line="264" w:lineRule="auto"/>
        <w:jc w:val="both"/>
      </w:pPr>
    </w:p>
    <w:p w14:paraId="2E00B57F" w14:textId="2E9E7B66" w:rsidR="00E82112" w:rsidRDefault="00E82112" w:rsidP="00446D40">
      <w:pPr>
        <w:pStyle w:val="Brezrazmikov"/>
        <w:numPr>
          <w:ilvl w:val="0"/>
          <w:numId w:val="22"/>
        </w:numPr>
        <w:spacing w:line="264" w:lineRule="auto"/>
        <w:jc w:val="both"/>
      </w:pPr>
      <w:r w:rsidRPr="59322637">
        <w:rPr>
          <w:b/>
          <w:bCs/>
        </w:rPr>
        <w:t xml:space="preserve">Podpora razvoju in proizvodnji strateških tehnologij: </w:t>
      </w:r>
      <w:r>
        <w:t>Platforma STEP identificira digitalne tehnologije, čiste tehnologije in biotehnologije kot ključne strateške sektorje. Te tehnologije so osnova za evropsko konkurenčnost in odpornost. Operativne potrebe PEKP</w:t>
      </w:r>
      <w:r w:rsidR="0054539C">
        <w:t xml:space="preserve"> </w:t>
      </w:r>
      <w:r>
        <w:t>odpirajo možnost vključitve projektov, ki neposredno podpirajo razvoj teh tehnologij, ter omogočajo uskladitev financiranja z ambicijami platforme STEP.</w:t>
      </w:r>
    </w:p>
    <w:p w14:paraId="7F6A7C6D" w14:textId="77777777" w:rsidR="00E82112" w:rsidRPr="009948AF" w:rsidRDefault="00E82112" w:rsidP="00E82112">
      <w:pPr>
        <w:pStyle w:val="Brezrazmikov"/>
        <w:spacing w:line="264" w:lineRule="auto"/>
        <w:ind w:left="360"/>
        <w:jc w:val="both"/>
      </w:pPr>
    </w:p>
    <w:p w14:paraId="6C3F8D9F" w14:textId="2CFC3FEB" w:rsidR="00E82112" w:rsidRDefault="00E82112" w:rsidP="00446D40">
      <w:pPr>
        <w:pStyle w:val="Brezrazmikov"/>
        <w:numPr>
          <w:ilvl w:val="0"/>
          <w:numId w:val="22"/>
        </w:numPr>
        <w:spacing w:line="264" w:lineRule="auto"/>
        <w:jc w:val="both"/>
      </w:pPr>
      <w:r w:rsidRPr="59322637">
        <w:rPr>
          <w:b/>
          <w:bCs/>
        </w:rPr>
        <w:t xml:space="preserve">Krepitev tehnološke suverenosti in zmanjšanje odvisnosti: </w:t>
      </w:r>
      <w:r>
        <w:t xml:space="preserve">STEP naslavlja odvisnost EU od zunanjih dobaviteljev, </w:t>
      </w:r>
      <w:r w:rsidR="00E942D5">
        <w:t>med drugim</w:t>
      </w:r>
      <w:r>
        <w:t xml:space="preserve"> na področju polprevodnikov, obnovljivih virov energije in kritičnih surovin. Slovenija mora prispevati k zmanjšanju teh odvisnosti z razvojem lastnih kapacitet in vključevanjem v projekte, kot so projekti s pečatom suverenosti in IPCEI. Sprememba PEKP omogoča financiranje strateških projektov, ki krepijo slovensko industrijsko osnovo in prispevajo k evropski tehnološki suverenosti.</w:t>
      </w:r>
    </w:p>
    <w:p w14:paraId="78F12B2F" w14:textId="77777777" w:rsidR="002D21D0" w:rsidRDefault="002D21D0" w:rsidP="002D21D0">
      <w:pPr>
        <w:pStyle w:val="Brezrazmikov"/>
        <w:spacing w:line="264" w:lineRule="auto"/>
        <w:jc w:val="both"/>
      </w:pPr>
    </w:p>
    <w:p w14:paraId="36788087" w14:textId="16F6D9DC" w:rsidR="00E82112" w:rsidRDefault="00E82112" w:rsidP="00446D40">
      <w:pPr>
        <w:pStyle w:val="Brezrazmikov"/>
        <w:numPr>
          <w:ilvl w:val="0"/>
          <w:numId w:val="22"/>
        </w:numPr>
        <w:spacing w:line="264" w:lineRule="auto"/>
        <w:jc w:val="both"/>
      </w:pPr>
      <w:r w:rsidRPr="08475B92">
        <w:rPr>
          <w:b/>
          <w:bCs/>
        </w:rPr>
        <w:t xml:space="preserve">Obravnava pomanjkanja znanj in spretnosti: </w:t>
      </w:r>
      <w:r>
        <w:t>Platforma STEP izpostavlja nujnost reševanja pomanjkanja kritičnih kompetenc, ki so ključne za razvoj in proizvodnjo strateških tehnologij. To vključuje spodbujanje kakovostnih delovnih mest, vajeništev in programov prekvalifikacije. Sprememba PEKP</w:t>
      </w:r>
      <w:r w:rsidR="0054539C">
        <w:t xml:space="preserve"> </w:t>
      </w:r>
      <w:r>
        <w:t>omogoča financiranje projektov, ki naslavljajo razvoj človeških virov in spodbujajo zaposlovanje v strateških sektorjih.</w:t>
      </w:r>
    </w:p>
    <w:p w14:paraId="07FBB78A" w14:textId="77777777" w:rsidR="006243F9" w:rsidRPr="009948AF" w:rsidRDefault="006243F9" w:rsidP="006243F9">
      <w:pPr>
        <w:pStyle w:val="Brezrazmikov"/>
        <w:spacing w:line="264" w:lineRule="auto"/>
        <w:jc w:val="both"/>
      </w:pPr>
    </w:p>
    <w:p w14:paraId="08B2AAA0" w14:textId="2634D220" w:rsidR="00E82112" w:rsidRDefault="00E82112" w:rsidP="00446D40">
      <w:pPr>
        <w:pStyle w:val="Brezrazmikov"/>
        <w:numPr>
          <w:ilvl w:val="0"/>
          <w:numId w:val="22"/>
        </w:numPr>
        <w:spacing w:line="264" w:lineRule="auto"/>
        <w:jc w:val="both"/>
      </w:pPr>
      <w:r w:rsidRPr="59322637">
        <w:rPr>
          <w:b/>
          <w:bCs/>
        </w:rPr>
        <w:t xml:space="preserve">Podpora prebojnim inovacijam in mednarodnemu sodelovanju: </w:t>
      </w:r>
      <w:r>
        <w:t>Platforma STEP spodbuja prebojne inovacije prek podpore projektom z visokim tveganjem, a velikim potencialom za trajnostno konkurenčnost. Prav tako poudarja povezovanje znotraj evropskih verig vrednosti. Operativne potrebe PEKP</w:t>
      </w:r>
      <w:r w:rsidR="0054539C">
        <w:t xml:space="preserve"> </w:t>
      </w:r>
      <w:r>
        <w:t>vključujejo spodbujanje prebojnih inovacij in povezovanje slovenskih deležnikov v evropske projekte, kot so projekti s pečatom suverenosti ali IPCEI.</w:t>
      </w:r>
    </w:p>
    <w:p w14:paraId="240E690F" w14:textId="77777777" w:rsidR="00E82112" w:rsidRPr="009948AF" w:rsidRDefault="00E82112" w:rsidP="00E82112">
      <w:pPr>
        <w:pStyle w:val="Brezrazmikov"/>
        <w:spacing w:line="264" w:lineRule="auto"/>
        <w:jc w:val="both"/>
      </w:pPr>
    </w:p>
    <w:p w14:paraId="49486D21" w14:textId="474DF3A7" w:rsidR="00E82112" w:rsidRDefault="00E82112" w:rsidP="00446D40">
      <w:pPr>
        <w:pStyle w:val="Brezrazmikov"/>
        <w:numPr>
          <w:ilvl w:val="0"/>
          <w:numId w:val="22"/>
        </w:numPr>
        <w:spacing w:line="264" w:lineRule="auto"/>
        <w:jc w:val="both"/>
      </w:pPr>
      <w:r w:rsidRPr="59322637">
        <w:rPr>
          <w:b/>
          <w:bCs/>
        </w:rPr>
        <w:t>Sinergije z obstoječimi programi in nacionalnimi strategijami:</w:t>
      </w:r>
      <w:r>
        <w:t xml:space="preserve"> Platforma STEP se tesno povezuje z drugimi evropskimi mehanizmi in regionalnimi strategijami, kot so Obzorje Evropa, Digitalna Evropa, EU4Health, Evropski obrambni sklad, pa tudi strategijo pametne specializacije in načrtom za okrevanje in odpornost. Sprememba PEKP</w:t>
      </w:r>
      <w:r w:rsidR="0054539C">
        <w:t xml:space="preserve"> </w:t>
      </w:r>
      <w:r>
        <w:t xml:space="preserve">omogoča sinergije med temi programi in povečuje učinkovitost </w:t>
      </w:r>
      <w:r w:rsidR="004C5D8A">
        <w:t>korišče</w:t>
      </w:r>
      <w:r>
        <w:t>nja evropskih sredstev.</w:t>
      </w:r>
    </w:p>
    <w:p w14:paraId="25798A49" w14:textId="77777777" w:rsidR="00E82112" w:rsidRPr="009948AF" w:rsidRDefault="00E82112" w:rsidP="00E82112">
      <w:pPr>
        <w:pStyle w:val="Brezrazmikov"/>
        <w:spacing w:line="264" w:lineRule="auto"/>
        <w:jc w:val="both"/>
      </w:pPr>
    </w:p>
    <w:p w14:paraId="7A8F5CE2" w14:textId="46593CBE" w:rsidR="00E82112" w:rsidRPr="009948AF" w:rsidRDefault="00E82112" w:rsidP="00CF38D9">
      <w:pPr>
        <w:pStyle w:val="Brezrazmikov"/>
        <w:spacing w:line="264" w:lineRule="auto"/>
        <w:jc w:val="both"/>
      </w:pPr>
      <w:r>
        <w:t xml:space="preserve">Uvedba specifičnega cilja </w:t>
      </w:r>
      <w:r w:rsidRPr="000B3E1A">
        <w:rPr>
          <w:i/>
          <w:iCs/>
        </w:rPr>
        <w:t>Razvoj ali proizvodnja kritičnih tehnologij</w:t>
      </w:r>
      <w:r>
        <w:t xml:space="preserve"> v PEKP</w:t>
      </w:r>
      <w:r w:rsidR="0054539C">
        <w:t xml:space="preserve"> </w:t>
      </w:r>
      <w:r>
        <w:t>omogoča Sloveniji, da se bolje prilagodi prioritetam platforme STEP. Sprememba bo spodbudila razvoj strateških tehnologij, okrepila tehnološko suverenost, ki s</w:t>
      </w:r>
      <w:r w:rsidR="00CA0015">
        <w:t>ta</w:t>
      </w:r>
      <w:r>
        <w:t xml:space="preserve"> ključn</w:t>
      </w:r>
      <w:r w:rsidR="00CA0015">
        <w:t>a</w:t>
      </w:r>
      <w:r>
        <w:t xml:space="preserve"> za konkurenčnost in odpornost slovenskega ter evropskega gospodarstva. Sinergije s platformo STEP bodo povečale integracijo Slovenije v evropske verige vrednosti in strateške projekte.</w:t>
      </w:r>
    </w:p>
    <w:p w14:paraId="636729F7" w14:textId="77777777" w:rsidR="00E82112" w:rsidRDefault="00E82112" w:rsidP="00E82112">
      <w:pPr>
        <w:spacing w:after="0"/>
      </w:pPr>
    </w:p>
    <w:p w14:paraId="67619F3A" w14:textId="7F20DB60" w:rsidR="00E82112" w:rsidRPr="00670DB8" w:rsidRDefault="00E82112" w:rsidP="00446D40">
      <w:pPr>
        <w:pStyle w:val="Naslov2"/>
        <w:numPr>
          <w:ilvl w:val="1"/>
          <w:numId w:val="2"/>
        </w:numPr>
        <w:spacing w:before="0"/>
        <w:rPr>
          <w:rFonts w:cs="Arial"/>
          <w:szCs w:val="24"/>
        </w:rPr>
      </w:pPr>
      <w:bookmarkStart w:id="10" w:name="_Toc191383844"/>
      <w:r w:rsidRPr="00670DB8">
        <w:rPr>
          <w:rFonts w:cs="Arial"/>
          <w:szCs w:val="24"/>
        </w:rPr>
        <w:t>Pristop k spremembi Programa evropske kohezijske politike 202</w:t>
      </w:r>
      <w:r w:rsidRPr="001A6C8D">
        <w:rPr>
          <w:rFonts w:cs="Arial"/>
          <w:szCs w:val="24"/>
        </w:rPr>
        <w:t>1</w:t>
      </w:r>
      <w:r w:rsidRPr="001A6C8D">
        <w:rPr>
          <w:rFonts w:cs="Arial"/>
          <w:szCs w:val="24"/>
          <w:shd w:val="clear" w:color="auto" w:fill="FFFFFF"/>
        </w:rPr>
        <w:t>–</w:t>
      </w:r>
      <w:r w:rsidRPr="00670DB8">
        <w:rPr>
          <w:rFonts w:cs="Arial"/>
          <w:szCs w:val="24"/>
        </w:rPr>
        <w:t>2027</w:t>
      </w:r>
      <w:bookmarkEnd w:id="10"/>
    </w:p>
    <w:p w14:paraId="272656E7" w14:textId="77777777" w:rsidR="00E82112" w:rsidRPr="004B3A39" w:rsidRDefault="00E82112" w:rsidP="00E00C61">
      <w:pPr>
        <w:spacing w:after="0"/>
        <w:rPr>
          <w:rFonts w:cstheme="minorHAnsi"/>
        </w:rPr>
      </w:pPr>
    </w:p>
    <w:p w14:paraId="04E0A5CD" w14:textId="77777777" w:rsidR="00E82112" w:rsidRDefault="00E82112" w:rsidP="00E00C61">
      <w:pPr>
        <w:spacing w:after="0"/>
        <w:jc w:val="both"/>
        <w:rPr>
          <w:rFonts w:cstheme="minorHAnsi"/>
        </w:rPr>
      </w:pPr>
      <w:r w:rsidRPr="00AB5328">
        <w:rPr>
          <w:rFonts w:cstheme="minorHAnsi"/>
        </w:rPr>
        <w:t>Pristop k spremembi Programa evropske kohezijske politike je predviden v okviru naslednjih korakov:</w:t>
      </w:r>
    </w:p>
    <w:p w14:paraId="210AB0FC" w14:textId="77777777" w:rsidR="00BA68C7" w:rsidRPr="00AB5328" w:rsidRDefault="00BA68C7" w:rsidP="00E00C61">
      <w:pPr>
        <w:spacing w:after="0"/>
        <w:jc w:val="both"/>
        <w:rPr>
          <w:rFonts w:cstheme="minorHAnsi"/>
        </w:rPr>
      </w:pPr>
    </w:p>
    <w:p w14:paraId="5D3FD303" w14:textId="066F29A0" w:rsidR="00AB5328" w:rsidRDefault="00E82112" w:rsidP="00446D40">
      <w:pPr>
        <w:pStyle w:val="Odstavekseznama"/>
        <w:numPr>
          <w:ilvl w:val="0"/>
          <w:numId w:val="1"/>
        </w:numPr>
        <w:jc w:val="both"/>
        <w:rPr>
          <w:rFonts w:cstheme="minorHAnsi"/>
        </w:rPr>
      </w:pPr>
      <w:r w:rsidRPr="00AB5328">
        <w:rPr>
          <w:rFonts w:cstheme="minorHAnsi"/>
        </w:rPr>
        <w:t>Oblikovanje novega specifičnega cilja v okviru Cilja politike 1 »Konkurenčnejša in pametnejša Evropa«. Doda se specifični cilj RSO1.6 »</w:t>
      </w:r>
      <w:r w:rsidR="00D11CEF">
        <w:rPr>
          <w:rFonts w:cstheme="minorHAnsi"/>
        </w:rPr>
        <w:t>Razvoj ali proizvodnja kritičnih tehnologij</w:t>
      </w:r>
      <w:r w:rsidRPr="00AB5328">
        <w:rPr>
          <w:rFonts w:cstheme="minorHAnsi"/>
        </w:rPr>
        <w:t>«, ki bo namenjen velikim, srednjim in malim podjetjem ter</w:t>
      </w:r>
      <w:r w:rsidR="00D11CEF">
        <w:rPr>
          <w:rFonts w:cstheme="minorHAnsi"/>
        </w:rPr>
        <w:t xml:space="preserve"> raziskovalnim organizacijam in bo</w:t>
      </w:r>
      <w:r w:rsidRPr="00AB5328">
        <w:rPr>
          <w:rFonts w:cstheme="minorHAnsi"/>
        </w:rPr>
        <w:t xml:space="preserve"> podpiral inovativne rešitve na področju strateških tehnologij. Vključitev platforme STEP poleg razvojnih ciljev prinaša 30 </w:t>
      </w:r>
      <w:r w:rsidR="00B43F9E">
        <w:rPr>
          <w:rFonts w:cstheme="minorHAnsi"/>
        </w:rPr>
        <w:t>%</w:t>
      </w:r>
      <w:r w:rsidRPr="00AB5328">
        <w:rPr>
          <w:rFonts w:cstheme="minorHAnsi"/>
        </w:rPr>
        <w:t xml:space="preserve"> </w:t>
      </w:r>
      <w:proofErr w:type="spellStart"/>
      <w:r w:rsidRPr="00AB5328">
        <w:rPr>
          <w:rFonts w:cstheme="minorHAnsi"/>
        </w:rPr>
        <w:t>predfinanciranje</w:t>
      </w:r>
      <w:proofErr w:type="spellEnd"/>
      <w:r w:rsidRPr="00AB5328">
        <w:rPr>
          <w:rFonts w:cstheme="minorHAnsi"/>
        </w:rPr>
        <w:t>, ki prispeva k doseganju mejnika N+3 v letu 2025.</w:t>
      </w:r>
    </w:p>
    <w:p w14:paraId="7BCF63A8" w14:textId="77777777" w:rsidR="002D21D0" w:rsidRPr="002D21D0" w:rsidRDefault="002D21D0" w:rsidP="00DD7A3B">
      <w:pPr>
        <w:pStyle w:val="Odstavekseznama"/>
        <w:jc w:val="both"/>
        <w:rPr>
          <w:rFonts w:cstheme="minorHAnsi"/>
        </w:rPr>
      </w:pPr>
    </w:p>
    <w:p w14:paraId="24F79D34" w14:textId="11E43632" w:rsidR="00E82112" w:rsidRDefault="00E82112" w:rsidP="00446D40">
      <w:pPr>
        <w:pStyle w:val="Odstavekseznama"/>
        <w:numPr>
          <w:ilvl w:val="0"/>
          <w:numId w:val="1"/>
        </w:numPr>
        <w:spacing w:after="0"/>
        <w:jc w:val="both"/>
        <w:rPr>
          <w:rFonts w:cstheme="minorHAnsi"/>
        </w:rPr>
      </w:pPr>
      <w:r w:rsidRPr="00AB5328">
        <w:rPr>
          <w:rFonts w:cstheme="minorHAnsi"/>
        </w:rPr>
        <w:t xml:space="preserve">Izdelava ocene tveganja pri izvajanju </w:t>
      </w:r>
      <w:r w:rsidR="00AB729D">
        <w:rPr>
          <w:rFonts w:cstheme="minorHAnsi"/>
        </w:rPr>
        <w:t>PEKP</w:t>
      </w:r>
      <w:r w:rsidRPr="00AB5328">
        <w:rPr>
          <w:rFonts w:cstheme="minorHAnsi"/>
        </w:rPr>
        <w:t xml:space="preserve"> in identifikacija operacij, ki so tvegane z vidika pravočasnosti izvedbe. V okviru navedenega priprava predlogov upravljanja s tveganimi operacijami, kar lahko zajema (a) ukrepe za pospešitev izvajanja posamezne operacije, (b) umik operacije iz Programa, (c) razčlenitev operacije na faze z namenom znižanja ter prerazporeditve sredstev in (d) delni zamik izvajanja operacije po sistemu </w:t>
      </w:r>
      <w:proofErr w:type="spellStart"/>
      <w:r w:rsidRPr="00AB5328">
        <w:rPr>
          <w:rFonts w:cstheme="minorHAnsi"/>
        </w:rPr>
        <w:t>faznosti</w:t>
      </w:r>
      <w:proofErr w:type="spellEnd"/>
      <w:r w:rsidRPr="00AB5328">
        <w:rPr>
          <w:rFonts w:cstheme="minorHAnsi"/>
        </w:rPr>
        <w:t xml:space="preserve"> v Program evropske kohezijske politike prihodnjega večletnega finančnega okvira 2028</w:t>
      </w:r>
      <w:r w:rsidRPr="00AB5328">
        <w:rPr>
          <w:rFonts w:cstheme="minorHAnsi"/>
          <w:color w:val="474747"/>
          <w:shd w:val="clear" w:color="auto" w:fill="FFFFFF"/>
        </w:rPr>
        <w:t>–</w:t>
      </w:r>
      <w:r w:rsidRPr="00AB5328">
        <w:rPr>
          <w:rFonts w:cstheme="minorHAnsi"/>
        </w:rPr>
        <w:t>2034.</w:t>
      </w:r>
    </w:p>
    <w:p w14:paraId="2DEE2394" w14:textId="77777777" w:rsidR="00AB5328" w:rsidRPr="00AB5328" w:rsidRDefault="00AB5328" w:rsidP="00AB5328">
      <w:pPr>
        <w:spacing w:after="0"/>
        <w:jc w:val="both"/>
        <w:rPr>
          <w:rFonts w:cstheme="minorHAnsi"/>
        </w:rPr>
      </w:pPr>
    </w:p>
    <w:p w14:paraId="034B4EFB" w14:textId="46E20A06" w:rsidR="00A0677D" w:rsidRDefault="00E82112" w:rsidP="00446D40">
      <w:pPr>
        <w:pStyle w:val="Odstavekseznama"/>
        <w:numPr>
          <w:ilvl w:val="0"/>
          <w:numId w:val="1"/>
        </w:numPr>
        <w:jc w:val="both"/>
        <w:rPr>
          <w:rFonts w:cstheme="minorHAnsi"/>
        </w:rPr>
        <w:sectPr w:rsidR="00A0677D" w:rsidSect="002E1975">
          <w:pgSz w:w="11906" w:h="16838"/>
          <w:pgMar w:top="1417" w:right="1417" w:bottom="1417" w:left="1417" w:header="708" w:footer="708" w:gutter="0"/>
          <w:cols w:space="708"/>
          <w:docGrid w:linePitch="360"/>
        </w:sectPr>
      </w:pPr>
      <w:r w:rsidRPr="00B451E0">
        <w:rPr>
          <w:rFonts w:cstheme="minorHAnsi"/>
        </w:rPr>
        <w:lastRenderedPageBreak/>
        <w:t>Identifikacija operacij oziroma projektov, ki lahko pospešijo koriščenje sredstev</w:t>
      </w:r>
      <w:r w:rsidR="00106808">
        <w:rPr>
          <w:rFonts w:cstheme="minorHAnsi"/>
        </w:rPr>
        <w:t xml:space="preserve"> – oblikovanje rezervnega seznama</w:t>
      </w:r>
      <w:r w:rsidRPr="00B451E0">
        <w:rPr>
          <w:rFonts w:cstheme="minorHAnsi"/>
        </w:rPr>
        <w:t>.</w:t>
      </w:r>
      <w:r w:rsidRPr="00AB5328">
        <w:rPr>
          <w:rFonts w:cstheme="minorHAnsi"/>
        </w:rPr>
        <w:t xml:space="preserve"> V okviru navedenega </w:t>
      </w:r>
      <w:r w:rsidR="004B7A56">
        <w:rPr>
          <w:rFonts w:cstheme="minorHAnsi"/>
        </w:rPr>
        <w:t xml:space="preserve">je predvideno </w:t>
      </w:r>
      <w:r w:rsidRPr="00AB5328">
        <w:rPr>
          <w:rFonts w:cstheme="minorHAnsi"/>
        </w:rPr>
        <w:t xml:space="preserve">povečanje sredstev za operacije, ki so že predvidene v </w:t>
      </w:r>
      <w:r w:rsidR="00E73DBB">
        <w:rPr>
          <w:rFonts w:cstheme="minorHAnsi"/>
        </w:rPr>
        <w:t>PEKP</w:t>
      </w:r>
      <w:r w:rsidRPr="00AB5328">
        <w:rPr>
          <w:rFonts w:cstheme="minorHAnsi"/>
        </w:rPr>
        <w:t xml:space="preserve"> in izkazujejo možnost večje absorpcije sredstev kot so že dodeljena</w:t>
      </w:r>
      <w:r w:rsidR="004B7A56">
        <w:rPr>
          <w:rFonts w:cstheme="minorHAnsi"/>
        </w:rPr>
        <w:t xml:space="preserve"> a</w:t>
      </w:r>
      <w:r w:rsidRPr="00AB5328">
        <w:rPr>
          <w:rFonts w:cstheme="minorHAnsi"/>
        </w:rPr>
        <w:t xml:space="preserve">li vključitev novih ukrepov oziroma operacij v </w:t>
      </w:r>
      <w:r w:rsidR="00E73DBB">
        <w:rPr>
          <w:rFonts w:cstheme="minorHAnsi"/>
        </w:rPr>
        <w:t>PEKP</w:t>
      </w:r>
      <w:r w:rsidRPr="00AB5328">
        <w:rPr>
          <w:rFonts w:cstheme="minorHAnsi"/>
        </w:rPr>
        <w:t>, ki se izvajajo v okviru drugih mehanizmov (NOO) ali sredstev</w:t>
      </w:r>
      <w:r w:rsidR="002E2DC8">
        <w:rPr>
          <w:rFonts w:cstheme="minorHAnsi"/>
        </w:rPr>
        <w:t xml:space="preserve"> državnega</w:t>
      </w:r>
      <w:r w:rsidRPr="00AB5328">
        <w:rPr>
          <w:rFonts w:cstheme="minorHAnsi"/>
        </w:rPr>
        <w:t xml:space="preserve"> proračuna</w:t>
      </w:r>
      <w:r w:rsidR="004B7A56" w:rsidRPr="004B7A56">
        <w:rPr>
          <w:rFonts w:cstheme="minorHAnsi"/>
        </w:rPr>
        <w:t xml:space="preserve"> </w:t>
      </w:r>
      <w:r w:rsidR="004B7A56">
        <w:rPr>
          <w:rFonts w:cstheme="minorHAnsi"/>
        </w:rPr>
        <w:t>in je zamenjani vir za Slovenijo ugodnejši</w:t>
      </w:r>
      <w:r w:rsidRPr="00AB5328">
        <w:rPr>
          <w:rFonts w:cstheme="minorHAnsi"/>
        </w:rPr>
        <w:t>.</w:t>
      </w:r>
    </w:p>
    <w:p w14:paraId="3B4C56AC" w14:textId="3C475898" w:rsidR="00E82112" w:rsidRDefault="00E016AD" w:rsidP="0013137C">
      <w:pPr>
        <w:pStyle w:val="Naslov1"/>
        <w:spacing w:before="0"/>
      </w:pPr>
      <w:bookmarkStart w:id="11" w:name="_Toc185496396"/>
      <w:bookmarkStart w:id="12" w:name="_Toc191383845"/>
      <w:bookmarkEnd w:id="11"/>
      <w:r w:rsidRPr="59322637">
        <w:lastRenderedPageBreak/>
        <w:t>KLJUČNE SPREMEMBE PEKP</w:t>
      </w:r>
      <w:bookmarkEnd w:id="12"/>
    </w:p>
    <w:p w14:paraId="0E301A4A" w14:textId="77777777" w:rsidR="006A1BB2" w:rsidRDefault="006A1BB2" w:rsidP="006A1BB2">
      <w:pPr>
        <w:pStyle w:val="Brezrazmikov"/>
        <w:spacing w:line="264" w:lineRule="auto"/>
        <w:jc w:val="both"/>
        <w:rPr>
          <w:b/>
          <w:bCs/>
        </w:rPr>
      </w:pPr>
    </w:p>
    <w:p w14:paraId="7AA5C5D2" w14:textId="085FD538" w:rsidR="00E82112" w:rsidRDefault="00E82112" w:rsidP="00446D40">
      <w:pPr>
        <w:pStyle w:val="Naslov2"/>
        <w:numPr>
          <w:ilvl w:val="1"/>
          <w:numId w:val="2"/>
        </w:numPr>
        <w:spacing w:before="0"/>
      </w:pPr>
      <w:bookmarkStart w:id="13" w:name="_Toc191383846"/>
      <w:r w:rsidRPr="59322637">
        <w:t>Nov specifični cilj RSO 1.6 Razvoj ali proizvodnja kritičnih tehnologij</w:t>
      </w:r>
      <w:bookmarkEnd w:id="13"/>
    </w:p>
    <w:p w14:paraId="6FC412CF" w14:textId="77777777" w:rsidR="006A1BB2" w:rsidRPr="00237277" w:rsidRDefault="006A1BB2" w:rsidP="006A1BB2">
      <w:pPr>
        <w:pStyle w:val="Brezrazmikov"/>
        <w:spacing w:line="264" w:lineRule="auto"/>
        <w:jc w:val="both"/>
        <w:rPr>
          <w:b/>
          <w:bCs/>
        </w:rPr>
      </w:pPr>
    </w:p>
    <w:p w14:paraId="44A2FFFA" w14:textId="77777777" w:rsidR="00E82112" w:rsidRDefault="00E82112" w:rsidP="006A1BB2">
      <w:pPr>
        <w:pStyle w:val="Brezrazmikov"/>
        <w:spacing w:line="264" w:lineRule="auto"/>
        <w:jc w:val="both"/>
      </w:pPr>
      <w:r>
        <w:t>Slovenija se sooča z izzivi, kot so nizka rast produktivnosti, zaostanek za povprečjem EU in potreba po prehodu v pametno in zeleno gospodarstvo. Platforma STEP predstavlja ključni evropski mehanizem za podporo strateškim tehnologijam, katerih razvoj in/ali proizvodnja sta bistvena za krepitev evropske suverenosti in konkurenčnosti.</w:t>
      </w:r>
    </w:p>
    <w:p w14:paraId="78045233" w14:textId="77777777" w:rsidR="006A1BB2" w:rsidRDefault="006A1BB2" w:rsidP="006A1BB2">
      <w:pPr>
        <w:pStyle w:val="Brezrazmikov"/>
        <w:spacing w:line="264" w:lineRule="auto"/>
        <w:jc w:val="both"/>
      </w:pPr>
    </w:p>
    <w:p w14:paraId="3C42E8DF" w14:textId="3FA03F99" w:rsidR="00E82112" w:rsidRDefault="00E82112" w:rsidP="006A1BB2">
      <w:pPr>
        <w:pStyle w:val="Brezrazmikov"/>
        <w:spacing w:line="264" w:lineRule="auto"/>
        <w:jc w:val="both"/>
      </w:pPr>
      <w:r>
        <w:t>Platforma STEP spodbuja projekte, ki naslavljajo digitalne tehnologije in globoko</w:t>
      </w:r>
      <w:r w:rsidR="00E55CA9">
        <w:t xml:space="preserve"> </w:t>
      </w:r>
      <w:r>
        <w:t xml:space="preserve">tehnološke inovacije, čiste </w:t>
      </w:r>
      <w:r w:rsidR="00D11CEF">
        <w:t xml:space="preserve">in z viri gospodarne </w:t>
      </w:r>
      <w:r>
        <w:t>tehnologije in biotehnologije, s posebnim poudarkom na zmanjševanju odvisnosti od tretjih držav, podpori evropskim verigam vrednosti in razvoju tehnologij za prihodnost. Skladno s tem tudi Slovenija v okviru tega specifičnega cilja načrtuje ciljno usmerjene ukrepe, ki prispevajo k trajnostni konkurenčnosti in vključevanju v evropske strateške pobude.</w:t>
      </w:r>
    </w:p>
    <w:p w14:paraId="43A8229F" w14:textId="77777777" w:rsidR="007C68AC" w:rsidRDefault="007C68AC" w:rsidP="006A1BB2">
      <w:pPr>
        <w:pStyle w:val="Brezrazmikov"/>
        <w:spacing w:line="264" w:lineRule="auto"/>
        <w:jc w:val="both"/>
      </w:pPr>
    </w:p>
    <w:p w14:paraId="6DEC7EB0" w14:textId="2240F64E" w:rsidR="00E82112" w:rsidRDefault="00E82112" w:rsidP="006A1BB2">
      <w:pPr>
        <w:pStyle w:val="Brezrazmikov"/>
        <w:spacing w:line="264" w:lineRule="auto"/>
        <w:jc w:val="both"/>
      </w:pPr>
      <w:r>
        <w:t xml:space="preserve">Specifični cilj </w:t>
      </w:r>
      <w:r w:rsidRPr="000B3E1A">
        <w:rPr>
          <w:i/>
          <w:iCs/>
        </w:rPr>
        <w:t>Razvoj ali proizvodnja kritičnih tehnologij</w:t>
      </w:r>
      <w:r>
        <w:t xml:space="preserve"> bo neposredno podprl prioritete platforme STEP z osredotočanjem na razvoj in/ali proizvodnjo ključnih tehnologij</w:t>
      </w:r>
      <w:r w:rsidR="00534668">
        <w:t xml:space="preserve"> od faze, kjer je izvedljivost že dokazana, do komercialne proizvodnje,</w:t>
      </w:r>
      <w:r>
        <w:t>, prenos inovacij ter sodelovanje v pomembnih projektih skupnega evropskega interesa</w:t>
      </w:r>
      <w:r w:rsidR="00534668">
        <w:t xml:space="preserve"> (IPCEI)</w:t>
      </w:r>
      <w:r>
        <w:t xml:space="preserve">. Poleg tega bo omogočil Sloveniji boljšo integracijo v strateške verige vrednosti EU, izboljšal produktivnost in spodbudil trajnostno gospodarstvo. </w:t>
      </w:r>
    </w:p>
    <w:p w14:paraId="3AD8AB9A" w14:textId="77777777" w:rsidR="006A1BB2" w:rsidRDefault="006A1BB2" w:rsidP="006A1BB2">
      <w:pPr>
        <w:pStyle w:val="Brezrazmikov"/>
        <w:spacing w:line="264" w:lineRule="auto"/>
        <w:jc w:val="both"/>
      </w:pPr>
    </w:p>
    <w:p w14:paraId="24C51150" w14:textId="0B8F7B8F" w:rsidR="00E82112" w:rsidRDefault="00E82112" w:rsidP="006A1BB2">
      <w:pPr>
        <w:pStyle w:val="Brezrazmikov"/>
        <w:spacing w:line="264" w:lineRule="auto"/>
        <w:jc w:val="both"/>
      </w:pPr>
      <w:r>
        <w:t xml:space="preserve">Na področju čistih </w:t>
      </w:r>
      <w:r w:rsidR="00D11CEF">
        <w:t xml:space="preserve">in z viri gospodarnih </w:t>
      </w:r>
      <w:r>
        <w:t xml:space="preserve">tehnologij bo dan poudarek na razsežnostih NEPN: razogljičenje, energetska učinkovitost, energetska varnost, notranji trg energije, predvsem v smeri razvoja (inovativnih, procesnih) tehnologij, ki zagotavljajo </w:t>
      </w:r>
      <w:proofErr w:type="spellStart"/>
      <w:r>
        <w:t>sinergijske</w:t>
      </w:r>
      <w:proofErr w:type="spellEnd"/>
      <w:r>
        <w:t xml:space="preserve"> učinke povečanja OVE, energetske učinkovitosti, hrambe energije, </w:t>
      </w:r>
      <w:proofErr w:type="spellStart"/>
      <w:r>
        <w:t>brezemisijske</w:t>
      </w:r>
      <w:proofErr w:type="spellEnd"/>
      <w:r>
        <w:t xml:space="preserve"> mobilnosti, v okviru pametnih energetskih sistemov za povečanje avtonomije oskrbe z energijo ter posledično večjo trajnost in konkurenčnost.</w:t>
      </w:r>
    </w:p>
    <w:p w14:paraId="164187F2" w14:textId="77777777" w:rsidR="006A1BB2" w:rsidRDefault="006A1BB2" w:rsidP="006A1BB2">
      <w:pPr>
        <w:pStyle w:val="Brezrazmikov"/>
        <w:spacing w:line="264" w:lineRule="auto"/>
        <w:jc w:val="both"/>
      </w:pPr>
    </w:p>
    <w:p w14:paraId="3735E8C7" w14:textId="77777777" w:rsidR="00E82112" w:rsidRDefault="00E82112" w:rsidP="006A1BB2">
      <w:pPr>
        <w:pStyle w:val="Brezrazmikov"/>
        <w:spacing w:line="264" w:lineRule="auto"/>
        <w:jc w:val="both"/>
      </w:pPr>
      <w:r>
        <w:t>Vlaganja bodo osredotočena na:</w:t>
      </w:r>
    </w:p>
    <w:p w14:paraId="445B634E" w14:textId="77777777" w:rsidR="006A1BB2" w:rsidRDefault="006A1BB2" w:rsidP="006A1BB2">
      <w:pPr>
        <w:pStyle w:val="Brezrazmikov"/>
        <w:spacing w:line="264" w:lineRule="auto"/>
        <w:jc w:val="both"/>
      </w:pPr>
    </w:p>
    <w:p w14:paraId="2A2FF568" w14:textId="4153B00A" w:rsidR="00E82112" w:rsidRDefault="00E82112" w:rsidP="00446D40">
      <w:pPr>
        <w:pStyle w:val="Brezrazmikov"/>
        <w:numPr>
          <w:ilvl w:val="0"/>
          <w:numId w:val="23"/>
        </w:numPr>
        <w:spacing w:line="264" w:lineRule="auto"/>
        <w:jc w:val="both"/>
      </w:pPr>
      <w:r w:rsidRPr="59322637">
        <w:rPr>
          <w:b/>
          <w:bCs/>
        </w:rPr>
        <w:t>Podporo razvoju in/ali proizvodnji kritičnih tehnologij in/ali zaščiti in okrepitvi njihovih dobavnih verig:</w:t>
      </w:r>
      <w:r>
        <w:t xml:space="preserve"> spodbujanje raziskovalno-inovacijskih projektov (TRL 4–9) z namenom prehoda v komercialno proizvodnjo in projektov, namenjenih za vzpostavitev proizvodnje. Podpora bo namenjena projektom, ki razvijajo </w:t>
      </w:r>
      <w:r w:rsidR="00D11CEF">
        <w:t xml:space="preserve">in/ali spodbujajo proizvodnjo </w:t>
      </w:r>
      <w:r>
        <w:t>napredn</w:t>
      </w:r>
      <w:r w:rsidR="00D11CEF">
        <w:t>ih</w:t>
      </w:r>
      <w:r>
        <w:t xml:space="preserve"> digitaln</w:t>
      </w:r>
      <w:r w:rsidR="00D11CEF">
        <w:t>ih</w:t>
      </w:r>
      <w:r>
        <w:t xml:space="preserve"> tehnologij, globoko</w:t>
      </w:r>
      <w:r w:rsidR="007735E9">
        <w:t xml:space="preserve"> </w:t>
      </w:r>
      <w:r>
        <w:t>tehnološk</w:t>
      </w:r>
      <w:r w:rsidR="00D11CEF">
        <w:t>ih</w:t>
      </w:r>
      <w:r>
        <w:t xml:space="preserve"> inovacij, čist</w:t>
      </w:r>
      <w:r w:rsidR="00D11CEF">
        <w:t>ih</w:t>
      </w:r>
      <w:r>
        <w:t xml:space="preserve"> </w:t>
      </w:r>
      <w:r w:rsidR="00D11CEF">
        <w:t xml:space="preserve">in z viri gospodarnih </w:t>
      </w:r>
      <w:r>
        <w:t>tehnologij in biotehnologij, ki na trg prinašajo inovativen, nastajajoč in najsodobnejši element z velikim gospodarskim potencialom ali prispevajo k zmanjšanju ali preprečevanju strateških odvisnosti EU oz. zaščiti in okrepitvi dobavnih verig kritičnih tehnologij. Ukrep naslavlja potrebo po pospeševanju rasti produktivnosti in prehodu v pametno in zeleno gospodarstvo, kar je ključno za zmanjšanje razvojnega in inovacijskega zaostanka za povprečjem EU.</w:t>
      </w:r>
    </w:p>
    <w:p w14:paraId="59940223" w14:textId="77777777" w:rsidR="006A1BB2" w:rsidRDefault="006A1BB2" w:rsidP="004E3724">
      <w:pPr>
        <w:pStyle w:val="Brezrazmikov"/>
        <w:spacing w:line="264" w:lineRule="auto"/>
        <w:jc w:val="both"/>
      </w:pPr>
    </w:p>
    <w:p w14:paraId="48033D3F" w14:textId="77777777" w:rsidR="00E84AF0" w:rsidRPr="00E84AF0" w:rsidRDefault="00E84AF0" w:rsidP="00E84AF0">
      <w:pPr>
        <w:pStyle w:val="Brezrazmikov"/>
        <w:numPr>
          <w:ilvl w:val="0"/>
          <w:numId w:val="23"/>
        </w:numPr>
        <w:spacing w:line="264" w:lineRule="auto"/>
        <w:jc w:val="both"/>
      </w:pPr>
      <w:r w:rsidRPr="00E84AF0">
        <w:rPr>
          <w:b/>
          <w:bCs/>
        </w:rPr>
        <w:t xml:space="preserve">Podporo projektom, ki prispevajo k ciljem platforme STEP </w:t>
      </w:r>
      <w:r w:rsidRPr="00E84AF0">
        <w:t>in sta ključnega pomena za razvoj kritične tehnologije strateškega pomena na področju:</w:t>
      </w:r>
    </w:p>
    <w:p w14:paraId="3F51863C" w14:textId="77777777" w:rsidR="00E84AF0" w:rsidRPr="00E84AF0" w:rsidRDefault="00E84AF0" w:rsidP="00E84AF0">
      <w:pPr>
        <w:pStyle w:val="Brezrazmikov"/>
        <w:spacing w:line="264" w:lineRule="auto"/>
        <w:ind w:left="360"/>
        <w:jc w:val="both"/>
      </w:pPr>
    </w:p>
    <w:p w14:paraId="3597784D" w14:textId="77777777" w:rsidR="00E84AF0" w:rsidRDefault="00E84AF0" w:rsidP="00E84AF0">
      <w:pPr>
        <w:pStyle w:val="Brezrazmikov"/>
        <w:spacing w:line="264" w:lineRule="auto"/>
        <w:ind w:left="360"/>
        <w:jc w:val="both"/>
      </w:pPr>
      <w:r w:rsidRPr="00E84AF0">
        <w:t xml:space="preserve">a) biotehnologije ter specifično za zmanjševanje strateške odvisnosti EU zlasti na področju farmacije. Projekt bo temeljil na vrhunski raziskovalni infrastrukturi (GIGA NMR) in vključeval sodelovanje v evropskem raziskovalnem infrastrukturnem konzorciju CERIC. </w:t>
      </w:r>
    </w:p>
    <w:p w14:paraId="19D33088" w14:textId="77777777" w:rsidR="00E84AF0" w:rsidRPr="00E84AF0" w:rsidRDefault="00E84AF0" w:rsidP="00E84AF0">
      <w:pPr>
        <w:pStyle w:val="Brezrazmikov"/>
        <w:spacing w:line="264" w:lineRule="auto"/>
        <w:ind w:left="360"/>
        <w:jc w:val="both"/>
      </w:pPr>
    </w:p>
    <w:p w14:paraId="0CE66BD4" w14:textId="66D9147D" w:rsidR="00E82112" w:rsidRPr="00E84AF0" w:rsidRDefault="00E84AF0" w:rsidP="00E84AF0">
      <w:pPr>
        <w:pStyle w:val="Brezrazmikov"/>
        <w:spacing w:line="264" w:lineRule="auto"/>
        <w:ind w:left="360"/>
        <w:jc w:val="both"/>
      </w:pPr>
      <w:r w:rsidRPr="00E84AF0">
        <w:t xml:space="preserve">b) digitalnih tehnologij ter specifično za zmanjševanje strateške odvisnosti EU zlasti na področju čipov in polprevodnikov. Projekt Kompetenčnega centra Chip.si bo temeljil na polprevodniških tehnologijah in vključeval sodelovanje v evropski mreži kompetenčnih centrov (27 </w:t>
      </w:r>
      <w:proofErr w:type="spellStart"/>
      <w:r w:rsidRPr="00E84AF0">
        <w:t>chip</w:t>
      </w:r>
      <w:proofErr w:type="spellEnd"/>
      <w:r w:rsidRPr="00E84AF0">
        <w:t xml:space="preserve"> </w:t>
      </w:r>
      <w:proofErr w:type="spellStart"/>
      <w:r w:rsidRPr="00E84AF0">
        <w:t>competence</w:t>
      </w:r>
      <w:proofErr w:type="spellEnd"/>
      <w:r w:rsidRPr="00E84AF0">
        <w:t xml:space="preserve"> </w:t>
      </w:r>
      <w:proofErr w:type="spellStart"/>
      <w:r w:rsidRPr="00E84AF0">
        <w:t>centres</w:t>
      </w:r>
      <w:proofErr w:type="spellEnd"/>
      <w:r w:rsidRPr="00E84AF0">
        <w:t xml:space="preserve">). </w:t>
      </w:r>
    </w:p>
    <w:p w14:paraId="018C7D88" w14:textId="77777777" w:rsidR="006A1BB2" w:rsidRDefault="006A1BB2" w:rsidP="006A1BB2">
      <w:pPr>
        <w:pStyle w:val="Brezrazmikov"/>
        <w:spacing w:line="264" w:lineRule="auto"/>
        <w:jc w:val="both"/>
      </w:pPr>
    </w:p>
    <w:p w14:paraId="7EC35DB5" w14:textId="126C3295" w:rsidR="00E82112" w:rsidRDefault="00E82112" w:rsidP="00446D40">
      <w:pPr>
        <w:pStyle w:val="Brezrazmikov"/>
        <w:numPr>
          <w:ilvl w:val="0"/>
          <w:numId w:val="23"/>
        </w:numPr>
        <w:spacing w:line="264" w:lineRule="auto"/>
        <w:jc w:val="both"/>
      </w:pPr>
      <w:r w:rsidRPr="59322637">
        <w:rPr>
          <w:b/>
          <w:bCs/>
        </w:rPr>
        <w:t>Podporo projektom s pečatom suverenosti</w:t>
      </w:r>
      <w:r w:rsidR="00C106C3">
        <w:rPr>
          <w:b/>
          <w:bCs/>
        </w:rPr>
        <w:t xml:space="preserve"> (pečatom STEP)</w:t>
      </w:r>
      <w:r w:rsidRPr="59322637">
        <w:rPr>
          <w:b/>
          <w:bCs/>
        </w:rPr>
        <w:t>:</w:t>
      </w:r>
      <w:r>
        <w:t xml:space="preserve"> financiranje projektov, ki so pridobili pečat suverenosti, kar potrjuje njihovo skladnost s cilji platforme STEP in njihov prispevek </w:t>
      </w:r>
      <w:r>
        <w:lastRenderedPageBreak/>
        <w:t xml:space="preserve">k evropski suverenosti. Ukrep krepi strateško avtonomijo Slovenije in EU, kar je pomembno za dolgoročno konkurenčnost. </w:t>
      </w:r>
    </w:p>
    <w:p w14:paraId="7C6FED9F" w14:textId="77777777" w:rsidR="006A1BB2" w:rsidRDefault="006A1BB2" w:rsidP="004E3724">
      <w:pPr>
        <w:pStyle w:val="Brezrazmikov"/>
        <w:spacing w:line="264" w:lineRule="auto"/>
        <w:jc w:val="both"/>
      </w:pPr>
    </w:p>
    <w:p w14:paraId="27EEE3B7" w14:textId="6986741B" w:rsidR="00E82112" w:rsidRDefault="00E82112" w:rsidP="00446D40">
      <w:pPr>
        <w:pStyle w:val="Brezrazmikov"/>
        <w:numPr>
          <w:ilvl w:val="0"/>
          <w:numId w:val="23"/>
        </w:numPr>
        <w:spacing w:line="264" w:lineRule="auto"/>
        <w:jc w:val="both"/>
      </w:pPr>
      <w:r w:rsidRPr="59322637">
        <w:rPr>
          <w:b/>
          <w:bCs/>
        </w:rPr>
        <w:t>Podporo projektom podjetij, vključenih v IPCEI:</w:t>
      </w:r>
      <w:r>
        <w:t xml:space="preserve"> </w:t>
      </w:r>
      <w:r w:rsidR="002F148B">
        <w:t>podpora slovenskim podjetjem</w:t>
      </w:r>
      <w:r>
        <w:t>, ki sodelujejo v pomembnih projektih skupnega evropskega interesa (IPCEI), z namenom krepitve njihove vloge v evropskih verigah vrednostni. Ukrep spodbuja pravičen prehod na podnebno nevtralno in krožno gospodarstvo, razvoj novih digitalnih rešitev ter spodbuja mednarodno sodelovanje, kar je ključno za izboljšanje produktivnosti. Za projekte direktnih partnerjev v IPCEI se predvideva podpora z neposredno potrditvijo operacije.</w:t>
      </w:r>
    </w:p>
    <w:p w14:paraId="7D369AC0" w14:textId="77777777" w:rsidR="006A1BB2" w:rsidRDefault="006A1BB2" w:rsidP="004E3724">
      <w:pPr>
        <w:pStyle w:val="Brezrazmikov"/>
        <w:spacing w:line="264" w:lineRule="auto"/>
        <w:jc w:val="both"/>
      </w:pPr>
    </w:p>
    <w:p w14:paraId="7DE00280" w14:textId="679D13E6" w:rsidR="006A1BB2" w:rsidRDefault="00E82112" w:rsidP="006A1BB2">
      <w:pPr>
        <w:pStyle w:val="Brezrazmikov"/>
        <w:spacing w:line="264" w:lineRule="auto"/>
        <w:jc w:val="both"/>
        <w:rPr>
          <w:rFonts w:cstheme="minorHAnsi"/>
        </w:rPr>
      </w:pPr>
      <w:r>
        <w:t>Ukrepi v okviru tega specifičnega cilja bodo morali izpolnjevati kriterije</w:t>
      </w:r>
      <w:r w:rsidR="002B3B9B">
        <w:t xml:space="preserve"> in pogoje</w:t>
      </w:r>
      <w:r>
        <w:t xml:space="preserve"> iz uredbe STEP</w:t>
      </w:r>
      <w:r>
        <w:rPr>
          <w:rStyle w:val="Sprotnaopomba-sklic"/>
        </w:rPr>
        <w:footnoteReference w:id="8"/>
      </w:r>
      <w:r>
        <w:t xml:space="preserve"> in s</w:t>
      </w:r>
      <w:r w:rsidR="002B3B9B">
        <w:t>mernicami STEP in s</w:t>
      </w:r>
      <w:r>
        <w:t>o hkrati zasnovani za neposredno naslavljanje ključnih izzivov Slovenije, kot so opredeljeni v Poročilu o produktivnosti 2023</w:t>
      </w:r>
      <w:r w:rsidR="007A6867">
        <w:rPr>
          <w:rStyle w:val="Sprotnaopomba-sklic"/>
        </w:rPr>
        <w:footnoteReference w:id="9"/>
      </w:r>
      <w:r>
        <w:t xml:space="preserve">. S spodbujanjem razvoja in/ali proizvodnje kritičnih tehnologij bodo prispevali k </w:t>
      </w:r>
      <w:r w:rsidRPr="0013137C">
        <w:rPr>
          <w:rFonts w:cstheme="minorHAnsi"/>
        </w:rPr>
        <w:t>trajnostni konkurenčnosti, strateški avtonomiji ter vključujočemu družbenemu razvoju Slovenije in Evropske unije. Podprti projekti bodo morali biti izvedeni do konca leta 2029.</w:t>
      </w:r>
      <w:r w:rsidR="00F6444C">
        <w:rPr>
          <w:rFonts w:cstheme="minorHAnsi"/>
        </w:rPr>
        <w:t xml:space="preserve"> </w:t>
      </w:r>
      <w:r w:rsidRPr="0013137C">
        <w:rPr>
          <w:rFonts w:cstheme="minorHAnsi"/>
        </w:rPr>
        <w:t>Predvideni potencialni upravičenci so podjetja in raziskovalne organizacije, ki razvijajo ali proizvajajo kritične tehnologije.</w:t>
      </w:r>
    </w:p>
    <w:p w14:paraId="382E0692" w14:textId="77777777" w:rsidR="00D56437" w:rsidRDefault="00D56437" w:rsidP="006A1BB2">
      <w:pPr>
        <w:pStyle w:val="Brezrazmikov"/>
        <w:spacing w:line="264" w:lineRule="auto"/>
        <w:jc w:val="both"/>
        <w:rPr>
          <w:rFonts w:cstheme="minorHAnsi"/>
        </w:rPr>
      </w:pPr>
    </w:p>
    <w:p w14:paraId="11040E38" w14:textId="77777777" w:rsidR="00D56437" w:rsidRDefault="00D56437" w:rsidP="00CA62A6">
      <w:pPr>
        <w:spacing w:after="0"/>
        <w:jc w:val="both"/>
        <w:rPr>
          <w:rFonts w:cstheme="minorHAnsi"/>
        </w:rPr>
      </w:pPr>
      <w:r w:rsidRPr="004B3A39">
        <w:rPr>
          <w:rFonts w:cstheme="minorHAnsi"/>
        </w:rPr>
        <w:t xml:space="preserve">V okviru Cilja politike 1 se </w:t>
      </w:r>
      <w:r w:rsidRPr="004B3A39">
        <w:rPr>
          <w:rFonts w:cstheme="minorHAnsi"/>
          <w:b/>
          <w:bCs/>
        </w:rPr>
        <w:t>za namene STEP</w:t>
      </w:r>
      <w:r w:rsidRPr="004B3A39">
        <w:rPr>
          <w:rFonts w:cstheme="minorHAnsi"/>
        </w:rPr>
        <w:t xml:space="preserve"> kreira nov specifični cilj RSO1.6 "Razvoj ali proizvodnja kritičnih tehnologij" za katerega se predvidi </w:t>
      </w:r>
      <w:r w:rsidRPr="004B3A39">
        <w:rPr>
          <w:rFonts w:cstheme="minorHAnsi"/>
          <w:b/>
          <w:bCs/>
        </w:rPr>
        <w:t>100 mio EUR</w:t>
      </w:r>
      <w:r w:rsidRPr="004B3A39">
        <w:rPr>
          <w:rFonts w:cstheme="minorHAnsi"/>
        </w:rPr>
        <w:t>.</w:t>
      </w:r>
    </w:p>
    <w:p w14:paraId="00F671FC" w14:textId="77777777" w:rsidR="00CA62A6" w:rsidRPr="004B3A39" w:rsidRDefault="00CA62A6" w:rsidP="00CA62A6">
      <w:pPr>
        <w:spacing w:after="0"/>
        <w:jc w:val="both"/>
        <w:rPr>
          <w:rFonts w:cstheme="minorHAnsi"/>
        </w:rPr>
      </w:pPr>
    </w:p>
    <w:p w14:paraId="63A22B7F" w14:textId="62228D36" w:rsidR="00D56437" w:rsidRPr="004B3A39" w:rsidRDefault="00D56437" w:rsidP="00CA62A6">
      <w:pPr>
        <w:spacing w:after="0"/>
        <w:jc w:val="both"/>
        <w:rPr>
          <w:rFonts w:cstheme="minorHAnsi"/>
          <w:b/>
          <w:bCs/>
        </w:rPr>
      </w:pPr>
      <w:r w:rsidRPr="004B3A39">
        <w:rPr>
          <w:rFonts w:cstheme="minorHAnsi"/>
          <w:b/>
          <w:bCs/>
        </w:rPr>
        <w:t>Sredstva za ta namen se v okviru obstoječega Investicijskega načrta Programa evropske kohezijske politike 2021</w:t>
      </w:r>
      <w:r>
        <w:rPr>
          <w:rFonts w:cs="Arial"/>
          <w:color w:val="474747"/>
          <w:sz w:val="21"/>
          <w:szCs w:val="21"/>
          <w:shd w:val="clear" w:color="auto" w:fill="FFFFFF"/>
        </w:rPr>
        <w:t>–</w:t>
      </w:r>
      <w:r w:rsidRPr="004B3A39">
        <w:rPr>
          <w:rFonts w:cstheme="minorHAnsi"/>
          <w:b/>
          <w:bCs/>
        </w:rPr>
        <w:t>2027 lahko predvidi iz naslova ukrepov MGTŠ, MVZI, MDP</w:t>
      </w:r>
      <w:r w:rsidR="00B04A34">
        <w:rPr>
          <w:rFonts w:cstheme="minorHAnsi"/>
          <w:b/>
          <w:bCs/>
        </w:rPr>
        <w:t>,</w:t>
      </w:r>
      <w:r w:rsidRPr="004B3A39">
        <w:rPr>
          <w:rFonts w:cstheme="minorHAnsi"/>
          <w:b/>
          <w:bCs/>
        </w:rPr>
        <w:t xml:space="preserve"> MP</w:t>
      </w:r>
      <w:r w:rsidR="00B04A34">
        <w:rPr>
          <w:rFonts w:cstheme="minorHAnsi"/>
          <w:b/>
          <w:bCs/>
        </w:rPr>
        <w:t xml:space="preserve"> in MDDSZ</w:t>
      </w:r>
      <w:r w:rsidRPr="004B3A39">
        <w:rPr>
          <w:rFonts w:cstheme="minorHAnsi"/>
          <w:b/>
          <w:bCs/>
        </w:rPr>
        <w:t xml:space="preserve"> na Cilju politike 1 v višini 80 milijonov evrov ter MOPE na Cilju politike 2 v višini 20 milijonov evrov.</w:t>
      </w:r>
    </w:p>
    <w:p w14:paraId="429BD371" w14:textId="77777777" w:rsidR="00CA62A6" w:rsidRDefault="00CA62A6" w:rsidP="00CA62A6">
      <w:pPr>
        <w:spacing w:after="0"/>
        <w:jc w:val="both"/>
        <w:rPr>
          <w:rFonts w:cstheme="minorHAnsi"/>
          <w:b/>
          <w:bCs/>
        </w:rPr>
      </w:pPr>
    </w:p>
    <w:p w14:paraId="52E56627" w14:textId="77777777" w:rsidR="00BF32A3" w:rsidRDefault="00BF32A3">
      <w:pPr>
        <w:rPr>
          <w:rFonts w:cstheme="minorHAnsi"/>
          <w:b/>
          <w:bCs/>
        </w:rPr>
      </w:pPr>
      <w:r>
        <w:rPr>
          <w:rFonts w:cstheme="minorHAnsi"/>
          <w:b/>
          <w:bCs/>
        </w:rPr>
        <w:br w:type="page"/>
      </w:r>
    </w:p>
    <w:p w14:paraId="42B1B67C" w14:textId="77777777" w:rsidR="00D33195" w:rsidRDefault="00D33195" w:rsidP="00592CC4">
      <w:pPr>
        <w:spacing w:line="276" w:lineRule="auto"/>
        <w:jc w:val="both"/>
        <w:rPr>
          <w:rFonts w:cs="Arial"/>
          <w:b/>
          <w:bCs/>
          <w:szCs w:val="20"/>
        </w:rPr>
        <w:sectPr w:rsidR="00D33195" w:rsidSect="002E1975">
          <w:pgSz w:w="11906" w:h="16838"/>
          <w:pgMar w:top="1417" w:right="1417" w:bottom="1417" w:left="1417" w:header="708" w:footer="708" w:gutter="0"/>
          <w:cols w:space="708"/>
          <w:docGrid w:linePitch="360"/>
        </w:sectPr>
      </w:pPr>
    </w:p>
    <w:p w14:paraId="4D9221AC" w14:textId="21489EDC" w:rsidR="008E059A" w:rsidRPr="00FB3502" w:rsidRDefault="008E059A" w:rsidP="08475B92">
      <w:pPr>
        <w:pStyle w:val="Napis"/>
        <w:keepNext/>
        <w:spacing w:after="0"/>
        <w:rPr>
          <w:i w:val="0"/>
          <w:iCs w:val="0"/>
          <w:color w:val="auto"/>
          <w:sz w:val="20"/>
          <w:szCs w:val="20"/>
        </w:rPr>
      </w:pPr>
      <w:bookmarkStart w:id="14" w:name="_Toc191459946"/>
      <w:r w:rsidRPr="08475B92">
        <w:rPr>
          <w:i w:val="0"/>
          <w:iCs w:val="0"/>
          <w:color w:val="auto"/>
          <w:sz w:val="20"/>
          <w:szCs w:val="20"/>
        </w:rPr>
        <w:lastRenderedPageBreak/>
        <w:t xml:space="preserve">Tabela </w:t>
      </w:r>
      <w:r w:rsidRPr="08475B92">
        <w:rPr>
          <w:i w:val="0"/>
          <w:iCs w:val="0"/>
          <w:color w:val="auto"/>
          <w:sz w:val="20"/>
          <w:szCs w:val="20"/>
        </w:rPr>
        <w:fldChar w:fldCharType="begin"/>
      </w:r>
      <w:r w:rsidRPr="08475B92">
        <w:rPr>
          <w:i w:val="0"/>
          <w:iCs w:val="0"/>
          <w:color w:val="auto"/>
          <w:sz w:val="20"/>
          <w:szCs w:val="20"/>
        </w:rPr>
        <w:instrText xml:space="preserve"> SEQ Tabela \* ARABIC </w:instrText>
      </w:r>
      <w:r w:rsidRPr="08475B92">
        <w:rPr>
          <w:i w:val="0"/>
          <w:iCs w:val="0"/>
          <w:color w:val="auto"/>
          <w:sz w:val="20"/>
          <w:szCs w:val="20"/>
        </w:rPr>
        <w:fldChar w:fldCharType="separate"/>
      </w:r>
      <w:r w:rsidR="00784805">
        <w:rPr>
          <w:i w:val="0"/>
          <w:iCs w:val="0"/>
          <w:noProof/>
          <w:color w:val="auto"/>
          <w:sz w:val="20"/>
          <w:szCs w:val="20"/>
        </w:rPr>
        <w:t>2</w:t>
      </w:r>
      <w:r w:rsidRPr="08475B92">
        <w:rPr>
          <w:i w:val="0"/>
          <w:iCs w:val="0"/>
          <w:color w:val="auto"/>
          <w:sz w:val="20"/>
          <w:szCs w:val="20"/>
        </w:rPr>
        <w:fldChar w:fldCharType="end"/>
      </w:r>
      <w:r w:rsidRPr="08475B92">
        <w:rPr>
          <w:i w:val="0"/>
          <w:iCs w:val="0"/>
          <w:color w:val="auto"/>
          <w:sz w:val="20"/>
          <w:szCs w:val="20"/>
        </w:rPr>
        <w:t>: Predlagane prerazporeditve sredstev znotraj PEKP 21</w:t>
      </w:r>
      <w:r w:rsidR="00941845" w:rsidRPr="08475B92">
        <w:rPr>
          <w:i w:val="0"/>
          <w:iCs w:val="0"/>
          <w:sz w:val="20"/>
          <w:szCs w:val="20"/>
        </w:rPr>
        <w:t>–</w:t>
      </w:r>
      <w:r w:rsidRPr="08475B92">
        <w:rPr>
          <w:i w:val="0"/>
          <w:iCs w:val="0"/>
          <w:color w:val="auto"/>
          <w:sz w:val="20"/>
          <w:szCs w:val="20"/>
        </w:rPr>
        <w:t>27 za namene STEP</w:t>
      </w:r>
      <w:bookmarkEnd w:id="14"/>
    </w:p>
    <w:p w14:paraId="1E80FD77" w14:textId="77777777" w:rsidR="008E059A" w:rsidRPr="00FB3502" w:rsidRDefault="008E059A" w:rsidP="008E059A">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0"/>
        <w:gridCol w:w="852"/>
        <w:gridCol w:w="1908"/>
        <w:gridCol w:w="9302"/>
      </w:tblGrid>
      <w:tr w:rsidR="00D33195" w:rsidRPr="00FB3502" w14:paraId="51485EF6" w14:textId="77777777" w:rsidTr="00D25D8D">
        <w:trPr>
          <w:trHeight w:val="465"/>
        </w:trPr>
        <w:tc>
          <w:tcPr>
            <w:tcW w:w="690" w:type="pct"/>
            <w:vMerge w:val="restart"/>
            <w:shd w:val="clear" w:color="auto" w:fill="auto"/>
            <w:noWrap/>
            <w:vAlign w:val="center"/>
            <w:hideMark/>
          </w:tcPr>
          <w:p w14:paraId="6D217EE7" w14:textId="77777777" w:rsidR="00D33195" w:rsidRPr="00FB3502" w:rsidRDefault="00D33195" w:rsidP="001A6C8D">
            <w:pPr>
              <w:spacing w:after="0" w:line="240" w:lineRule="auto"/>
              <w:rPr>
                <w:rFonts w:eastAsia="Times New Roman" w:cs="Arial"/>
                <w:color w:val="000000"/>
                <w:kern w:val="0"/>
                <w:szCs w:val="20"/>
                <w:lang w:eastAsia="sl-SI"/>
                <w14:ligatures w14:val="none"/>
              </w:rPr>
            </w:pPr>
            <w:r w:rsidRPr="00FB3502">
              <w:rPr>
                <w:rFonts w:eastAsia="Times New Roman" w:cs="Arial"/>
                <w:color w:val="000000"/>
                <w:kern w:val="0"/>
                <w:szCs w:val="20"/>
                <w:lang w:eastAsia="sl-SI"/>
                <w14:ligatures w14:val="none"/>
              </w:rPr>
              <w:t xml:space="preserve">MGTŠ </w:t>
            </w:r>
          </w:p>
        </w:tc>
        <w:tc>
          <w:tcPr>
            <w:tcW w:w="304" w:type="pct"/>
            <w:shd w:val="clear" w:color="auto" w:fill="auto"/>
            <w:noWrap/>
            <w:vAlign w:val="bottom"/>
            <w:hideMark/>
          </w:tcPr>
          <w:p w14:paraId="390E4567" w14:textId="77777777" w:rsidR="00D33195" w:rsidRPr="00FB3502" w:rsidRDefault="00D33195" w:rsidP="00D33195">
            <w:pPr>
              <w:spacing w:after="0" w:line="240" w:lineRule="auto"/>
              <w:rPr>
                <w:rFonts w:eastAsia="Times New Roman" w:cs="Arial"/>
                <w:color w:val="000000"/>
                <w:kern w:val="0"/>
                <w:szCs w:val="20"/>
                <w:lang w:eastAsia="sl-SI"/>
                <w14:ligatures w14:val="none"/>
              </w:rPr>
            </w:pPr>
            <w:r w:rsidRPr="00FB3502">
              <w:rPr>
                <w:rFonts w:eastAsia="Times New Roman" w:cs="Arial"/>
                <w:color w:val="000000"/>
                <w:kern w:val="0"/>
                <w:szCs w:val="20"/>
                <w:lang w:eastAsia="sl-SI"/>
                <w14:ligatures w14:val="none"/>
              </w:rPr>
              <w:t>VZHOD</w:t>
            </w:r>
          </w:p>
        </w:tc>
        <w:tc>
          <w:tcPr>
            <w:tcW w:w="682" w:type="pct"/>
            <w:shd w:val="clear" w:color="auto" w:fill="auto"/>
            <w:noWrap/>
            <w:vAlign w:val="bottom"/>
            <w:hideMark/>
          </w:tcPr>
          <w:p w14:paraId="73894007" w14:textId="77777777" w:rsidR="00D33195" w:rsidRPr="00FB3502" w:rsidRDefault="00D33195" w:rsidP="00D33195">
            <w:pPr>
              <w:spacing w:after="0" w:line="240" w:lineRule="auto"/>
              <w:jc w:val="right"/>
              <w:rPr>
                <w:rFonts w:eastAsia="Times New Roman" w:cs="Arial"/>
                <w:kern w:val="0"/>
                <w:szCs w:val="20"/>
                <w:lang w:eastAsia="sl-SI"/>
                <w14:ligatures w14:val="none"/>
              </w:rPr>
            </w:pPr>
            <w:r w:rsidRPr="00FB3502">
              <w:rPr>
                <w:rFonts w:eastAsia="Times New Roman" w:cs="Arial"/>
                <w:kern w:val="0"/>
                <w:szCs w:val="20"/>
                <w:lang w:eastAsia="sl-SI"/>
                <w14:ligatures w14:val="none"/>
              </w:rPr>
              <w:t>42.294.446,00</w:t>
            </w:r>
          </w:p>
        </w:tc>
        <w:tc>
          <w:tcPr>
            <w:tcW w:w="3324" w:type="pct"/>
            <w:vMerge w:val="restart"/>
            <w:shd w:val="clear" w:color="auto" w:fill="auto"/>
            <w:hideMark/>
          </w:tcPr>
          <w:p w14:paraId="736A54E9" w14:textId="56889575" w:rsidR="00D33195" w:rsidRPr="00FB3502" w:rsidRDefault="00D33195" w:rsidP="005164FC">
            <w:pPr>
              <w:spacing w:after="0" w:line="240" w:lineRule="auto"/>
              <w:jc w:val="both"/>
              <w:rPr>
                <w:rFonts w:eastAsia="Times New Roman" w:cs="Arial"/>
                <w:color w:val="000000"/>
                <w:kern w:val="0"/>
                <w:szCs w:val="20"/>
                <w:lang w:eastAsia="sl-SI"/>
                <w14:ligatures w14:val="none"/>
              </w:rPr>
            </w:pPr>
            <w:r w:rsidRPr="00FB3502">
              <w:rPr>
                <w:rFonts w:eastAsia="Times New Roman" w:cs="Arial"/>
                <w:color w:val="000000"/>
                <w:kern w:val="0"/>
                <w:szCs w:val="20"/>
                <w:lang w:eastAsia="sl-SI"/>
                <w14:ligatures w14:val="none"/>
              </w:rPr>
              <w:t>MGTŠ predlaga prenos do 59 mio EUR na nov SC RSO1.6 za namene STEP na račun ukrepa "DEMO/PILOTI" na SC RSO1.1. Preostanek sredstev se niža na ukrepu "RRI" na SC RSO1.1.</w:t>
            </w:r>
          </w:p>
        </w:tc>
      </w:tr>
      <w:tr w:rsidR="00D33195" w:rsidRPr="00FB3502" w14:paraId="51415F1A" w14:textId="77777777" w:rsidTr="00D25D8D">
        <w:trPr>
          <w:trHeight w:val="465"/>
        </w:trPr>
        <w:tc>
          <w:tcPr>
            <w:tcW w:w="690" w:type="pct"/>
            <w:vMerge/>
            <w:vAlign w:val="center"/>
            <w:hideMark/>
          </w:tcPr>
          <w:p w14:paraId="606FE7FF" w14:textId="77777777" w:rsidR="00D33195" w:rsidRPr="00FB3502" w:rsidRDefault="00D33195" w:rsidP="001A6C8D">
            <w:pPr>
              <w:spacing w:after="0" w:line="240" w:lineRule="auto"/>
              <w:rPr>
                <w:rFonts w:eastAsia="Times New Roman" w:cs="Arial"/>
                <w:color w:val="000000"/>
                <w:kern w:val="0"/>
                <w:szCs w:val="20"/>
                <w:lang w:eastAsia="sl-SI"/>
                <w14:ligatures w14:val="none"/>
              </w:rPr>
            </w:pPr>
          </w:p>
        </w:tc>
        <w:tc>
          <w:tcPr>
            <w:tcW w:w="304" w:type="pct"/>
            <w:shd w:val="clear" w:color="auto" w:fill="auto"/>
            <w:noWrap/>
            <w:vAlign w:val="bottom"/>
            <w:hideMark/>
          </w:tcPr>
          <w:p w14:paraId="4023F94E" w14:textId="77777777" w:rsidR="00D33195" w:rsidRPr="00FB3502" w:rsidRDefault="00D33195" w:rsidP="00D33195">
            <w:pPr>
              <w:spacing w:after="0" w:line="240" w:lineRule="auto"/>
              <w:rPr>
                <w:rFonts w:eastAsia="Times New Roman" w:cs="Arial"/>
                <w:color w:val="000000"/>
                <w:kern w:val="0"/>
                <w:szCs w:val="20"/>
                <w:lang w:eastAsia="sl-SI"/>
                <w14:ligatures w14:val="none"/>
              </w:rPr>
            </w:pPr>
            <w:r w:rsidRPr="00FB3502">
              <w:rPr>
                <w:rFonts w:eastAsia="Times New Roman" w:cs="Arial"/>
                <w:color w:val="000000"/>
                <w:kern w:val="0"/>
                <w:szCs w:val="20"/>
                <w:lang w:eastAsia="sl-SI"/>
                <w14:ligatures w14:val="none"/>
              </w:rPr>
              <w:t>ZAHOD</w:t>
            </w:r>
          </w:p>
        </w:tc>
        <w:tc>
          <w:tcPr>
            <w:tcW w:w="682" w:type="pct"/>
            <w:shd w:val="clear" w:color="auto" w:fill="auto"/>
            <w:noWrap/>
            <w:vAlign w:val="bottom"/>
            <w:hideMark/>
          </w:tcPr>
          <w:p w14:paraId="3F1FECBE" w14:textId="77777777" w:rsidR="00D33195" w:rsidRPr="00FB3502" w:rsidRDefault="00D33195" w:rsidP="00D33195">
            <w:pPr>
              <w:spacing w:after="0" w:line="240" w:lineRule="auto"/>
              <w:jc w:val="right"/>
              <w:rPr>
                <w:rFonts w:eastAsia="Times New Roman" w:cs="Arial"/>
                <w:kern w:val="0"/>
                <w:szCs w:val="20"/>
                <w:lang w:eastAsia="sl-SI"/>
                <w14:ligatures w14:val="none"/>
              </w:rPr>
            </w:pPr>
            <w:r w:rsidRPr="00FB3502">
              <w:rPr>
                <w:rFonts w:eastAsia="Times New Roman" w:cs="Arial"/>
                <w:kern w:val="0"/>
                <w:szCs w:val="20"/>
                <w:lang w:eastAsia="sl-SI"/>
                <w14:ligatures w14:val="none"/>
              </w:rPr>
              <w:t>16.426.185,00</w:t>
            </w:r>
          </w:p>
        </w:tc>
        <w:tc>
          <w:tcPr>
            <w:tcW w:w="3324" w:type="pct"/>
            <w:vMerge/>
            <w:vAlign w:val="center"/>
            <w:hideMark/>
          </w:tcPr>
          <w:p w14:paraId="46CA12D5" w14:textId="77777777" w:rsidR="00D33195" w:rsidRPr="00FB3502" w:rsidRDefault="00D33195" w:rsidP="00D33195">
            <w:pPr>
              <w:spacing w:after="0" w:line="240" w:lineRule="auto"/>
              <w:rPr>
                <w:rFonts w:eastAsia="Times New Roman" w:cs="Arial"/>
                <w:color w:val="000000"/>
                <w:kern w:val="0"/>
                <w:szCs w:val="20"/>
                <w:lang w:eastAsia="sl-SI"/>
                <w14:ligatures w14:val="none"/>
              </w:rPr>
            </w:pPr>
          </w:p>
        </w:tc>
      </w:tr>
      <w:tr w:rsidR="00812B02" w:rsidRPr="003D3E11" w14:paraId="11BED404" w14:textId="77777777" w:rsidTr="00BF3635">
        <w:trPr>
          <w:trHeight w:val="465"/>
        </w:trPr>
        <w:tc>
          <w:tcPr>
            <w:tcW w:w="690" w:type="pct"/>
            <w:vMerge w:val="restart"/>
            <w:shd w:val="clear" w:color="auto" w:fill="auto"/>
            <w:noWrap/>
            <w:vAlign w:val="center"/>
            <w:hideMark/>
          </w:tcPr>
          <w:p w14:paraId="53EA4D99" w14:textId="77777777" w:rsidR="00812B02" w:rsidRPr="00FB3502" w:rsidRDefault="00812B02" w:rsidP="00812B02">
            <w:pPr>
              <w:spacing w:after="0" w:line="240" w:lineRule="auto"/>
              <w:rPr>
                <w:rFonts w:eastAsia="Times New Roman" w:cs="Arial"/>
                <w:color w:val="000000"/>
                <w:kern w:val="0"/>
                <w:szCs w:val="20"/>
                <w:lang w:eastAsia="sl-SI"/>
                <w14:ligatures w14:val="none"/>
              </w:rPr>
            </w:pPr>
            <w:r w:rsidRPr="00FB3502">
              <w:rPr>
                <w:rFonts w:eastAsia="Times New Roman" w:cs="Arial"/>
                <w:color w:val="000000"/>
                <w:kern w:val="0"/>
                <w:szCs w:val="20"/>
                <w:lang w:eastAsia="sl-SI"/>
                <w14:ligatures w14:val="none"/>
              </w:rPr>
              <w:t>MDP</w:t>
            </w:r>
          </w:p>
        </w:tc>
        <w:tc>
          <w:tcPr>
            <w:tcW w:w="304" w:type="pct"/>
            <w:shd w:val="clear" w:color="auto" w:fill="auto"/>
            <w:noWrap/>
            <w:vAlign w:val="bottom"/>
            <w:hideMark/>
          </w:tcPr>
          <w:p w14:paraId="5EAFC8A9" w14:textId="63613CF7" w:rsidR="00812B02" w:rsidRPr="00FB3502" w:rsidRDefault="00812B02" w:rsidP="00BF3635">
            <w:pPr>
              <w:spacing w:after="0" w:line="240" w:lineRule="auto"/>
              <w:jc w:val="right"/>
              <w:rPr>
                <w:rFonts w:eastAsia="Times New Roman" w:cs="Arial"/>
                <w:color w:val="000000"/>
                <w:kern w:val="0"/>
                <w:szCs w:val="20"/>
                <w:lang w:eastAsia="sl-SI"/>
                <w14:ligatures w14:val="none"/>
              </w:rPr>
            </w:pPr>
            <w:r w:rsidRPr="00EB51EF">
              <w:t>VZHOD</w:t>
            </w:r>
          </w:p>
        </w:tc>
        <w:tc>
          <w:tcPr>
            <w:tcW w:w="682" w:type="pct"/>
            <w:shd w:val="clear" w:color="auto" w:fill="auto"/>
            <w:noWrap/>
            <w:vAlign w:val="bottom"/>
            <w:hideMark/>
          </w:tcPr>
          <w:p w14:paraId="18B1F2AF" w14:textId="793BE5FD" w:rsidR="00812B02" w:rsidRPr="00FB3502" w:rsidRDefault="00812B02" w:rsidP="00BF3635">
            <w:pPr>
              <w:spacing w:after="0" w:line="240" w:lineRule="auto"/>
              <w:jc w:val="right"/>
              <w:rPr>
                <w:rFonts w:eastAsia="Times New Roman" w:cs="Arial"/>
                <w:kern w:val="0"/>
                <w:szCs w:val="20"/>
                <w:lang w:eastAsia="sl-SI"/>
                <w14:ligatures w14:val="none"/>
              </w:rPr>
            </w:pPr>
            <w:r w:rsidRPr="00EB51EF">
              <w:t>4.751.368,00</w:t>
            </w:r>
          </w:p>
        </w:tc>
        <w:tc>
          <w:tcPr>
            <w:tcW w:w="3324" w:type="pct"/>
            <w:vMerge w:val="restart"/>
            <w:shd w:val="clear" w:color="auto" w:fill="auto"/>
            <w:hideMark/>
          </w:tcPr>
          <w:p w14:paraId="7DB7DDA4" w14:textId="7923DD62" w:rsidR="00812B02" w:rsidRPr="003D3E11" w:rsidRDefault="515F71E2" w:rsidP="14EAAC8F">
            <w:pPr>
              <w:spacing w:after="0" w:line="240" w:lineRule="auto"/>
              <w:jc w:val="both"/>
              <w:rPr>
                <w:rFonts w:eastAsia="Times New Roman" w:cs="Arial"/>
                <w:color w:val="000000"/>
                <w:kern w:val="0"/>
                <w:lang w:eastAsia="sl-SI"/>
                <w14:ligatures w14:val="none"/>
              </w:rPr>
            </w:pPr>
            <w:r>
              <w:t xml:space="preserve">MDP predlaga nižanje sredstev v okviru SC RSO1.2 (ukinitev ukrepov "JR Dvig digitalne vključenosti in digitalnih kompetenc" in "JR NVO"), ki se jih prenese na nov SC RSO1.6 za namene STEP, ter ob tem predlaga zagotovitev sredstev v okviru Cilja politike 4. OU za ta namen predlaga nižanje sredstev MDDSZ v okviru SC ESO4.1 </w:t>
            </w:r>
            <w:r w:rsidRPr="004F24BB">
              <w:t xml:space="preserve">na </w:t>
            </w:r>
            <w:r w:rsidRPr="320083EE">
              <w:rPr>
                <w:b/>
                <w:bCs/>
              </w:rPr>
              <w:t>VZHODU</w:t>
            </w:r>
            <w:r>
              <w:t>.</w:t>
            </w:r>
          </w:p>
        </w:tc>
      </w:tr>
      <w:tr w:rsidR="00812B02" w:rsidRPr="003D3E11" w14:paraId="43A654D8" w14:textId="77777777" w:rsidTr="00BF3635">
        <w:trPr>
          <w:trHeight w:val="465"/>
        </w:trPr>
        <w:tc>
          <w:tcPr>
            <w:tcW w:w="690" w:type="pct"/>
            <w:vMerge/>
            <w:vAlign w:val="center"/>
            <w:hideMark/>
          </w:tcPr>
          <w:p w14:paraId="60D8659B" w14:textId="77777777" w:rsidR="00812B02" w:rsidRPr="000B3E1A" w:rsidRDefault="00812B02" w:rsidP="00812B02">
            <w:pPr>
              <w:spacing w:after="0" w:line="240" w:lineRule="auto"/>
              <w:rPr>
                <w:rFonts w:eastAsia="Times New Roman" w:cs="Arial"/>
                <w:color w:val="000000"/>
                <w:kern w:val="0"/>
                <w:szCs w:val="20"/>
                <w:lang w:eastAsia="sl-SI"/>
                <w14:ligatures w14:val="none"/>
              </w:rPr>
            </w:pPr>
          </w:p>
        </w:tc>
        <w:tc>
          <w:tcPr>
            <w:tcW w:w="304" w:type="pct"/>
            <w:shd w:val="clear" w:color="auto" w:fill="auto"/>
            <w:noWrap/>
            <w:vAlign w:val="bottom"/>
            <w:hideMark/>
          </w:tcPr>
          <w:p w14:paraId="68BEE870" w14:textId="50FECB22" w:rsidR="00812B02" w:rsidRPr="000B3E1A" w:rsidRDefault="00812B02" w:rsidP="00BF3635">
            <w:pPr>
              <w:spacing w:after="0" w:line="240" w:lineRule="auto"/>
              <w:jc w:val="right"/>
              <w:rPr>
                <w:rFonts w:eastAsia="Times New Roman" w:cs="Arial"/>
                <w:color w:val="000000"/>
                <w:kern w:val="0"/>
                <w:szCs w:val="20"/>
                <w:lang w:eastAsia="sl-SI"/>
                <w14:ligatures w14:val="none"/>
              </w:rPr>
            </w:pPr>
            <w:r w:rsidRPr="00EB51EF">
              <w:t>ZAHOD</w:t>
            </w:r>
          </w:p>
        </w:tc>
        <w:tc>
          <w:tcPr>
            <w:tcW w:w="682" w:type="pct"/>
            <w:shd w:val="clear" w:color="auto" w:fill="auto"/>
            <w:noWrap/>
            <w:vAlign w:val="bottom"/>
            <w:hideMark/>
          </w:tcPr>
          <w:p w14:paraId="7EE7F78F" w14:textId="42D35D96" w:rsidR="00812B02" w:rsidRPr="000B3E1A" w:rsidRDefault="00812B02" w:rsidP="00BF3635">
            <w:pPr>
              <w:spacing w:after="0" w:line="240" w:lineRule="auto"/>
              <w:jc w:val="right"/>
              <w:rPr>
                <w:rFonts w:eastAsia="Times New Roman" w:cs="Arial"/>
                <w:kern w:val="0"/>
                <w:szCs w:val="20"/>
                <w:lang w:eastAsia="sl-SI"/>
                <w14:ligatures w14:val="none"/>
              </w:rPr>
            </w:pPr>
            <w:r w:rsidRPr="00EB51EF">
              <w:t>3.398.986,00</w:t>
            </w:r>
          </w:p>
        </w:tc>
        <w:tc>
          <w:tcPr>
            <w:tcW w:w="3324" w:type="pct"/>
            <w:vMerge/>
            <w:hideMark/>
          </w:tcPr>
          <w:p w14:paraId="24113837" w14:textId="77777777" w:rsidR="00812B02" w:rsidRPr="000B3E1A" w:rsidRDefault="00812B02" w:rsidP="00812B02">
            <w:pPr>
              <w:spacing w:after="0" w:line="240" w:lineRule="auto"/>
              <w:rPr>
                <w:rFonts w:eastAsia="Times New Roman" w:cs="Arial"/>
                <w:color w:val="000000"/>
                <w:kern w:val="0"/>
                <w:szCs w:val="20"/>
                <w:lang w:eastAsia="sl-SI"/>
                <w14:ligatures w14:val="none"/>
              </w:rPr>
            </w:pPr>
          </w:p>
        </w:tc>
      </w:tr>
      <w:tr w:rsidR="00D33195" w:rsidRPr="003D3E11" w14:paraId="3B7D9C1A" w14:textId="77777777" w:rsidTr="00D25D8D">
        <w:trPr>
          <w:trHeight w:val="465"/>
        </w:trPr>
        <w:tc>
          <w:tcPr>
            <w:tcW w:w="690" w:type="pct"/>
            <w:vMerge w:val="restart"/>
            <w:shd w:val="clear" w:color="auto" w:fill="auto"/>
            <w:noWrap/>
            <w:vAlign w:val="center"/>
            <w:hideMark/>
          </w:tcPr>
          <w:p w14:paraId="5F11CB84" w14:textId="77777777" w:rsidR="00D33195" w:rsidRPr="003D3E11" w:rsidRDefault="00D33195" w:rsidP="001A6C8D">
            <w:pPr>
              <w:spacing w:after="0" w:line="240" w:lineRule="auto"/>
              <w:rPr>
                <w:rFonts w:eastAsia="Times New Roman" w:cs="Arial"/>
                <w:color w:val="000000"/>
                <w:kern w:val="0"/>
                <w:szCs w:val="20"/>
                <w:lang w:eastAsia="sl-SI"/>
                <w14:ligatures w14:val="none"/>
              </w:rPr>
            </w:pPr>
            <w:r w:rsidRPr="003D3E11">
              <w:rPr>
                <w:rFonts w:eastAsia="Times New Roman" w:cs="Arial"/>
                <w:color w:val="000000"/>
                <w:kern w:val="0"/>
                <w:szCs w:val="20"/>
                <w:lang w:eastAsia="sl-SI"/>
                <w14:ligatures w14:val="none"/>
              </w:rPr>
              <w:t xml:space="preserve">MP </w:t>
            </w:r>
          </w:p>
        </w:tc>
        <w:tc>
          <w:tcPr>
            <w:tcW w:w="304" w:type="pct"/>
            <w:shd w:val="clear" w:color="auto" w:fill="auto"/>
            <w:noWrap/>
            <w:vAlign w:val="bottom"/>
            <w:hideMark/>
          </w:tcPr>
          <w:p w14:paraId="48B97A1E" w14:textId="77777777" w:rsidR="00D33195" w:rsidRPr="003D3E11" w:rsidRDefault="00D33195" w:rsidP="00D33195">
            <w:pPr>
              <w:spacing w:after="0" w:line="240" w:lineRule="auto"/>
              <w:rPr>
                <w:rFonts w:eastAsia="Times New Roman" w:cs="Arial"/>
                <w:color w:val="000000"/>
                <w:kern w:val="0"/>
                <w:szCs w:val="20"/>
                <w:lang w:eastAsia="sl-SI"/>
                <w14:ligatures w14:val="none"/>
              </w:rPr>
            </w:pPr>
            <w:r w:rsidRPr="003D3E11">
              <w:rPr>
                <w:rFonts w:eastAsia="Times New Roman" w:cs="Arial"/>
                <w:color w:val="000000"/>
                <w:kern w:val="0"/>
                <w:szCs w:val="20"/>
                <w:lang w:eastAsia="sl-SI"/>
                <w14:ligatures w14:val="none"/>
              </w:rPr>
              <w:t>VZHOD</w:t>
            </w:r>
          </w:p>
        </w:tc>
        <w:tc>
          <w:tcPr>
            <w:tcW w:w="682" w:type="pct"/>
            <w:shd w:val="clear" w:color="auto" w:fill="auto"/>
            <w:noWrap/>
            <w:vAlign w:val="bottom"/>
            <w:hideMark/>
          </w:tcPr>
          <w:p w14:paraId="0E8EB1B6" w14:textId="77777777" w:rsidR="00D33195" w:rsidRPr="003D3E11" w:rsidRDefault="00D33195" w:rsidP="00D33195">
            <w:pPr>
              <w:spacing w:after="0" w:line="240" w:lineRule="auto"/>
              <w:jc w:val="right"/>
              <w:rPr>
                <w:rFonts w:eastAsia="Times New Roman" w:cs="Arial"/>
                <w:kern w:val="0"/>
                <w:szCs w:val="20"/>
                <w:lang w:eastAsia="sl-SI"/>
                <w14:ligatures w14:val="none"/>
              </w:rPr>
            </w:pPr>
            <w:r w:rsidRPr="003D3E11">
              <w:rPr>
                <w:rFonts w:eastAsia="Times New Roman" w:cs="Arial"/>
                <w:kern w:val="0"/>
                <w:szCs w:val="20"/>
                <w:lang w:eastAsia="sl-SI"/>
                <w14:ligatures w14:val="none"/>
              </w:rPr>
              <w:t>520.544,00</w:t>
            </w:r>
          </w:p>
        </w:tc>
        <w:tc>
          <w:tcPr>
            <w:tcW w:w="3324" w:type="pct"/>
            <w:vMerge w:val="restart"/>
            <w:shd w:val="clear" w:color="auto" w:fill="auto"/>
            <w:hideMark/>
          </w:tcPr>
          <w:p w14:paraId="13443A4F" w14:textId="6DE6D506" w:rsidR="00D33195" w:rsidRPr="003D3E11" w:rsidRDefault="00D33195" w:rsidP="005164FC">
            <w:pPr>
              <w:spacing w:after="0" w:line="240" w:lineRule="auto"/>
              <w:jc w:val="both"/>
              <w:rPr>
                <w:rFonts w:eastAsia="Times New Roman" w:cs="Arial"/>
                <w:color w:val="000000"/>
                <w:kern w:val="0"/>
                <w:szCs w:val="20"/>
                <w:lang w:eastAsia="sl-SI"/>
                <w14:ligatures w14:val="none"/>
              </w:rPr>
            </w:pPr>
            <w:r w:rsidRPr="003D3E11">
              <w:rPr>
                <w:rFonts w:eastAsia="Times New Roman" w:cs="Arial"/>
                <w:color w:val="000000"/>
                <w:kern w:val="0"/>
                <w:szCs w:val="20"/>
                <w:lang w:eastAsia="sl-SI"/>
                <w14:ligatures w14:val="none"/>
              </w:rPr>
              <w:t xml:space="preserve">MP predlaga ukinitev dveh ukrepov in nižanje enega v okviru RSO1.2 (ukinitev: "Digitalna vstopna/izstopna točka Državnega odvetništva RS" in "Razvoj dodatnih orodij in optimizacija dostopa do sodne prakse", nižanje: "Izboljšanje spletne dostopnosti sodišč"), sredstva se prenese na nov SC RSO1.6 za namene STEP </w:t>
            </w:r>
          </w:p>
        </w:tc>
      </w:tr>
      <w:tr w:rsidR="00D33195" w:rsidRPr="003D3E11" w14:paraId="7A8653E8" w14:textId="77777777" w:rsidTr="00D25D8D">
        <w:trPr>
          <w:trHeight w:val="465"/>
        </w:trPr>
        <w:tc>
          <w:tcPr>
            <w:tcW w:w="690" w:type="pct"/>
            <w:vMerge/>
            <w:vAlign w:val="center"/>
            <w:hideMark/>
          </w:tcPr>
          <w:p w14:paraId="5CDA5C26" w14:textId="77777777" w:rsidR="00D33195" w:rsidRPr="000B3E1A" w:rsidRDefault="00D33195" w:rsidP="001A6C8D">
            <w:pPr>
              <w:spacing w:after="0" w:line="240" w:lineRule="auto"/>
              <w:rPr>
                <w:rFonts w:eastAsia="Times New Roman" w:cs="Arial"/>
                <w:color w:val="000000"/>
                <w:kern w:val="0"/>
                <w:szCs w:val="20"/>
                <w:lang w:eastAsia="sl-SI"/>
                <w14:ligatures w14:val="none"/>
              </w:rPr>
            </w:pPr>
          </w:p>
        </w:tc>
        <w:tc>
          <w:tcPr>
            <w:tcW w:w="304" w:type="pct"/>
            <w:shd w:val="clear" w:color="auto" w:fill="auto"/>
            <w:noWrap/>
            <w:vAlign w:val="bottom"/>
            <w:hideMark/>
          </w:tcPr>
          <w:p w14:paraId="400DFB51" w14:textId="77777777" w:rsidR="00D33195" w:rsidRPr="000B3E1A" w:rsidRDefault="00D33195" w:rsidP="00D33195">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ZAHOD</w:t>
            </w:r>
          </w:p>
        </w:tc>
        <w:tc>
          <w:tcPr>
            <w:tcW w:w="682" w:type="pct"/>
            <w:shd w:val="clear" w:color="auto" w:fill="auto"/>
            <w:noWrap/>
            <w:vAlign w:val="bottom"/>
            <w:hideMark/>
          </w:tcPr>
          <w:p w14:paraId="736F2046" w14:textId="77777777" w:rsidR="00D33195" w:rsidRPr="000B3E1A" w:rsidRDefault="00D33195" w:rsidP="00D33195">
            <w:pPr>
              <w:spacing w:after="0" w:line="240" w:lineRule="auto"/>
              <w:jc w:val="right"/>
              <w:rPr>
                <w:rFonts w:eastAsia="Times New Roman" w:cs="Arial"/>
                <w:kern w:val="0"/>
                <w:szCs w:val="20"/>
                <w:lang w:eastAsia="sl-SI"/>
                <w14:ligatures w14:val="none"/>
              </w:rPr>
            </w:pPr>
            <w:r w:rsidRPr="000B3E1A">
              <w:rPr>
                <w:rFonts w:eastAsia="Times New Roman" w:cs="Arial"/>
                <w:kern w:val="0"/>
                <w:szCs w:val="20"/>
                <w:lang w:eastAsia="sl-SI"/>
                <w14:ligatures w14:val="none"/>
              </w:rPr>
              <w:t>375.038,00</w:t>
            </w:r>
          </w:p>
        </w:tc>
        <w:tc>
          <w:tcPr>
            <w:tcW w:w="3324" w:type="pct"/>
            <w:vMerge/>
            <w:vAlign w:val="center"/>
            <w:hideMark/>
          </w:tcPr>
          <w:p w14:paraId="09361312" w14:textId="77777777" w:rsidR="00D33195" w:rsidRPr="000B3E1A" w:rsidRDefault="00D33195" w:rsidP="00D33195">
            <w:pPr>
              <w:spacing w:after="0" w:line="240" w:lineRule="auto"/>
              <w:rPr>
                <w:rFonts w:eastAsia="Times New Roman" w:cs="Arial"/>
                <w:color w:val="000000"/>
                <w:kern w:val="0"/>
                <w:szCs w:val="20"/>
                <w:lang w:eastAsia="sl-SI"/>
                <w14:ligatures w14:val="none"/>
              </w:rPr>
            </w:pPr>
          </w:p>
        </w:tc>
      </w:tr>
      <w:tr w:rsidR="00D33195" w:rsidRPr="003D3E11" w14:paraId="5450DD82" w14:textId="77777777" w:rsidTr="00D25D8D">
        <w:trPr>
          <w:trHeight w:val="465"/>
        </w:trPr>
        <w:tc>
          <w:tcPr>
            <w:tcW w:w="690" w:type="pct"/>
            <w:vMerge w:val="restart"/>
            <w:shd w:val="clear" w:color="auto" w:fill="auto"/>
            <w:noWrap/>
            <w:vAlign w:val="center"/>
            <w:hideMark/>
          </w:tcPr>
          <w:p w14:paraId="0E4DD83B" w14:textId="77777777" w:rsidR="00D33195" w:rsidRPr="003D3E11" w:rsidRDefault="00D33195" w:rsidP="001A6C8D">
            <w:pPr>
              <w:spacing w:after="0" w:line="240" w:lineRule="auto"/>
              <w:rPr>
                <w:rFonts w:eastAsia="Times New Roman" w:cs="Arial"/>
                <w:color w:val="000000"/>
                <w:kern w:val="0"/>
                <w:szCs w:val="20"/>
                <w:lang w:eastAsia="sl-SI"/>
                <w14:ligatures w14:val="none"/>
              </w:rPr>
            </w:pPr>
            <w:r w:rsidRPr="003D3E11">
              <w:rPr>
                <w:rFonts w:eastAsia="Times New Roman" w:cs="Arial"/>
                <w:color w:val="000000"/>
                <w:kern w:val="0"/>
                <w:szCs w:val="20"/>
                <w:lang w:eastAsia="sl-SI"/>
                <w14:ligatures w14:val="none"/>
              </w:rPr>
              <w:t>MDDSZ</w:t>
            </w:r>
          </w:p>
        </w:tc>
        <w:tc>
          <w:tcPr>
            <w:tcW w:w="304" w:type="pct"/>
            <w:shd w:val="clear" w:color="auto" w:fill="auto"/>
            <w:noWrap/>
            <w:vAlign w:val="bottom"/>
            <w:hideMark/>
          </w:tcPr>
          <w:p w14:paraId="5B6D071B" w14:textId="77777777" w:rsidR="00D33195" w:rsidRPr="003D3E11" w:rsidRDefault="00D33195" w:rsidP="00D33195">
            <w:pPr>
              <w:spacing w:after="0" w:line="240" w:lineRule="auto"/>
              <w:rPr>
                <w:rFonts w:eastAsia="Times New Roman" w:cs="Arial"/>
                <w:color w:val="000000"/>
                <w:kern w:val="0"/>
                <w:szCs w:val="20"/>
                <w:lang w:eastAsia="sl-SI"/>
                <w14:ligatures w14:val="none"/>
              </w:rPr>
            </w:pPr>
            <w:r w:rsidRPr="003D3E11">
              <w:rPr>
                <w:rFonts w:eastAsia="Times New Roman" w:cs="Arial"/>
                <w:color w:val="000000"/>
                <w:kern w:val="0"/>
                <w:szCs w:val="20"/>
                <w:lang w:eastAsia="sl-SI"/>
                <w14:ligatures w14:val="none"/>
              </w:rPr>
              <w:t>VZHOD</w:t>
            </w:r>
          </w:p>
        </w:tc>
        <w:tc>
          <w:tcPr>
            <w:tcW w:w="682" w:type="pct"/>
            <w:shd w:val="clear" w:color="auto" w:fill="auto"/>
            <w:noWrap/>
            <w:vAlign w:val="bottom"/>
            <w:hideMark/>
          </w:tcPr>
          <w:p w14:paraId="00B66F14" w14:textId="77777777" w:rsidR="00D33195" w:rsidRPr="003D3E11" w:rsidRDefault="00D33195" w:rsidP="00D33195">
            <w:pPr>
              <w:spacing w:after="0" w:line="240" w:lineRule="auto"/>
              <w:jc w:val="right"/>
              <w:rPr>
                <w:rFonts w:eastAsia="Times New Roman" w:cs="Arial"/>
                <w:kern w:val="0"/>
                <w:szCs w:val="20"/>
                <w:lang w:eastAsia="sl-SI"/>
                <w14:ligatures w14:val="none"/>
              </w:rPr>
            </w:pPr>
            <w:r w:rsidRPr="003D3E11">
              <w:rPr>
                <w:rFonts w:eastAsia="Times New Roman" w:cs="Arial"/>
                <w:kern w:val="0"/>
                <w:szCs w:val="20"/>
                <w:lang w:eastAsia="sl-SI"/>
                <w14:ligatures w14:val="none"/>
              </w:rPr>
              <w:t>3.463.256,00</w:t>
            </w:r>
          </w:p>
        </w:tc>
        <w:tc>
          <w:tcPr>
            <w:tcW w:w="3324" w:type="pct"/>
            <w:vMerge w:val="restart"/>
            <w:shd w:val="clear" w:color="auto" w:fill="auto"/>
            <w:hideMark/>
          </w:tcPr>
          <w:p w14:paraId="71D004B1" w14:textId="6EC1B863" w:rsidR="00D33195" w:rsidRPr="003D3E11" w:rsidRDefault="00D33195" w:rsidP="005164FC">
            <w:pPr>
              <w:spacing w:after="0" w:line="240" w:lineRule="auto"/>
              <w:jc w:val="both"/>
              <w:rPr>
                <w:rFonts w:eastAsia="Times New Roman" w:cs="Arial"/>
                <w:color w:val="000000"/>
                <w:kern w:val="0"/>
                <w:lang w:eastAsia="sl-SI"/>
                <w14:ligatures w14:val="none"/>
              </w:rPr>
            </w:pPr>
            <w:r w:rsidRPr="3EADBB6B">
              <w:rPr>
                <w:rFonts w:eastAsia="Times New Roman" w:cs="Arial"/>
                <w:color w:val="000000"/>
                <w:kern w:val="0"/>
                <w:lang w:eastAsia="sl-SI"/>
                <w14:ligatures w14:val="none"/>
              </w:rPr>
              <w:t xml:space="preserve">Zaradi dolgotrajnega postopka uvrščanja projekta v NRP bo realizacija ukrepa "Kompetenčni centri za razvoj kadrov 4.0" v okviru RSO1.4 za </w:t>
            </w:r>
            <w:r w:rsidR="081898FF" w:rsidRPr="31EE13A2">
              <w:rPr>
                <w:rFonts w:eastAsia="Times New Roman" w:cs="Arial"/>
                <w:color w:val="000000" w:themeColor="text1"/>
                <w:lang w:eastAsia="sl-SI"/>
              </w:rPr>
              <w:t xml:space="preserve">30% </w:t>
            </w:r>
            <w:r w:rsidRPr="3EADBB6B">
              <w:rPr>
                <w:rFonts w:eastAsia="Times New Roman" w:cs="Arial"/>
                <w:color w:val="000000"/>
                <w:kern w:val="0"/>
                <w:lang w:eastAsia="sl-SI"/>
                <w14:ligatures w14:val="none"/>
              </w:rPr>
              <w:t>nižja</w:t>
            </w:r>
            <w:r w:rsidR="34F9BE81" w:rsidRPr="3EADBB6B">
              <w:rPr>
                <w:rFonts w:eastAsia="Times New Roman" w:cs="Arial"/>
                <w:color w:val="000000"/>
                <w:kern w:val="0"/>
                <w:lang w:eastAsia="sl-SI"/>
                <w14:ligatures w14:val="none"/>
              </w:rPr>
              <w:t>.</w:t>
            </w:r>
            <w:r w:rsidR="007A3FA3" w:rsidRPr="3EADBB6B">
              <w:rPr>
                <w:rFonts w:eastAsia="Times New Roman" w:cs="Arial"/>
                <w:color w:val="000000"/>
                <w:kern w:val="0"/>
                <w:lang w:eastAsia="sl-SI"/>
                <w14:ligatures w14:val="none"/>
              </w:rPr>
              <w:t xml:space="preserve"> </w:t>
            </w:r>
            <w:r w:rsidR="5AE4B092" w:rsidRPr="3EADBB6B">
              <w:rPr>
                <w:rFonts w:eastAsia="Times New Roman" w:cs="Arial"/>
                <w:color w:val="000000"/>
                <w:kern w:val="0"/>
                <w:lang w:eastAsia="sl-SI"/>
                <w14:ligatures w14:val="none"/>
              </w:rPr>
              <w:t>S</w:t>
            </w:r>
            <w:r w:rsidR="697F95B2" w:rsidRPr="3EADBB6B">
              <w:rPr>
                <w:rFonts w:eastAsia="Times New Roman" w:cs="Arial"/>
                <w:color w:val="000000"/>
                <w:kern w:val="0"/>
                <w:lang w:eastAsia="sl-SI"/>
                <w14:ligatures w14:val="none"/>
              </w:rPr>
              <w:t>redst</w:t>
            </w:r>
            <w:r w:rsidR="04F35D48" w:rsidRPr="3EADBB6B">
              <w:rPr>
                <w:rFonts w:eastAsia="Times New Roman" w:cs="Arial"/>
                <w:color w:val="000000"/>
                <w:kern w:val="0"/>
                <w:lang w:eastAsia="sl-SI"/>
                <w14:ligatures w14:val="none"/>
              </w:rPr>
              <w:t>va</w:t>
            </w:r>
            <w:r w:rsidR="37E2FEDE" w:rsidRPr="3EADBB6B">
              <w:rPr>
                <w:rFonts w:eastAsia="Times New Roman" w:cs="Arial"/>
                <w:color w:val="000000"/>
                <w:kern w:val="0"/>
                <w:lang w:eastAsia="sl-SI"/>
                <w14:ligatures w14:val="none"/>
              </w:rPr>
              <w:t xml:space="preserve"> </w:t>
            </w:r>
            <w:r w:rsidR="659A7A7A" w:rsidRPr="3EADBB6B">
              <w:rPr>
                <w:rFonts w:eastAsia="Times New Roman" w:cs="Arial"/>
                <w:color w:val="000000"/>
                <w:kern w:val="0"/>
                <w:lang w:eastAsia="sl-SI"/>
                <w14:ligatures w14:val="none"/>
              </w:rPr>
              <w:t xml:space="preserve">se </w:t>
            </w:r>
            <w:r w:rsidR="37E2FEDE" w:rsidRPr="68B7843D">
              <w:rPr>
                <w:rFonts w:eastAsia="Times New Roman" w:cs="Arial"/>
                <w:color w:val="000000" w:themeColor="text1"/>
                <w:lang w:eastAsia="sl-SI"/>
              </w:rPr>
              <w:t>prenese</w:t>
            </w:r>
            <w:r w:rsidRPr="3EADBB6B" w:rsidDel="00276466">
              <w:rPr>
                <w:rFonts w:eastAsia="Times New Roman" w:cs="Arial"/>
                <w:color w:val="000000"/>
                <w:kern w:val="0"/>
                <w:lang w:eastAsia="sl-SI"/>
                <w14:ligatures w14:val="none"/>
              </w:rPr>
              <w:t xml:space="preserve"> </w:t>
            </w:r>
            <w:r w:rsidRPr="3EADBB6B">
              <w:rPr>
                <w:rFonts w:eastAsia="Times New Roman" w:cs="Arial"/>
                <w:color w:val="000000"/>
                <w:kern w:val="0"/>
                <w:lang w:eastAsia="sl-SI"/>
                <w14:ligatures w14:val="none"/>
              </w:rPr>
              <w:t>na nov SC RSO1.6 za namene STEP.</w:t>
            </w:r>
          </w:p>
        </w:tc>
      </w:tr>
      <w:tr w:rsidR="00D33195" w:rsidRPr="003D3E11" w14:paraId="73230476" w14:textId="77777777" w:rsidTr="00D25D8D">
        <w:trPr>
          <w:trHeight w:val="465"/>
        </w:trPr>
        <w:tc>
          <w:tcPr>
            <w:tcW w:w="690" w:type="pct"/>
            <w:vMerge/>
            <w:vAlign w:val="center"/>
            <w:hideMark/>
          </w:tcPr>
          <w:p w14:paraId="3D4E9620" w14:textId="77777777" w:rsidR="00D33195" w:rsidRPr="000B3E1A" w:rsidRDefault="00D33195" w:rsidP="001A6C8D">
            <w:pPr>
              <w:spacing w:after="0" w:line="240" w:lineRule="auto"/>
              <w:rPr>
                <w:rFonts w:eastAsia="Times New Roman" w:cs="Arial"/>
                <w:color w:val="000000"/>
                <w:kern w:val="0"/>
                <w:szCs w:val="20"/>
                <w:lang w:eastAsia="sl-SI"/>
                <w14:ligatures w14:val="none"/>
              </w:rPr>
            </w:pPr>
          </w:p>
        </w:tc>
        <w:tc>
          <w:tcPr>
            <w:tcW w:w="304" w:type="pct"/>
            <w:shd w:val="clear" w:color="auto" w:fill="auto"/>
            <w:noWrap/>
            <w:vAlign w:val="bottom"/>
            <w:hideMark/>
          </w:tcPr>
          <w:p w14:paraId="0AE2118F" w14:textId="77777777" w:rsidR="00D33195" w:rsidRPr="000B3E1A" w:rsidRDefault="00D33195" w:rsidP="00D33195">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ZAHOD</w:t>
            </w:r>
          </w:p>
        </w:tc>
        <w:tc>
          <w:tcPr>
            <w:tcW w:w="682" w:type="pct"/>
            <w:shd w:val="clear" w:color="auto" w:fill="auto"/>
            <w:noWrap/>
            <w:vAlign w:val="bottom"/>
            <w:hideMark/>
          </w:tcPr>
          <w:p w14:paraId="1DC85CD0" w14:textId="77777777" w:rsidR="00D33195" w:rsidRPr="000B3E1A" w:rsidRDefault="00D33195" w:rsidP="00D33195">
            <w:pPr>
              <w:spacing w:after="0" w:line="240" w:lineRule="auto"/>
              <w:jc w:val="right"/>
              <w:rPr>
                <w:rFonts w:eastAsia="Times New Roman" w:cs="Arial"/>
                <w:kern w:val="0"/>
                <w:szCs w:val="20"/>
                <w:lang w:eastAsia="sl-SI"/>
                <w14:ligatures w14:val="none"/>
              </w:rPr>
            </w:pPr>
            <w:r w:rsidRPr="000B3E1A">
              <w:rPr>
                <w:rFonts w:eastAsia="Times New Roman" w:cs="Arial"/>
                <w:kern w:val="0"/>
                <w:szCs w:val="20"/>
                <w:lang w:eastAsia="sl-SI"/>
                <w14:ligatures w14:val="none"/>
              </w:rPr>
              <w:t>1.180.177,00</w:t>
            </w:r>
          </w:p>
        </w:tc>
        <w:tc>
          <w:tcPr>
            <w:tcW w:w="3324" w:type="pct"/>
            <w:vMerge/>
            <w:vAlign w:val="center"/>
            <w:hideMark/>
          </w:tcPr>
          <w:p w14:paraId="2A9D6471" w14:textId="77777777" w:rsidR="00D33195" w:rsidRPr="000B3E1A" w:rsidRDefault="00D33195" w:rsidP="00D33195">
            <w:pPr>
              <w:spacing w:after="0" w:line="240" w:lineRule="auto"/>
              <w:rPr>
                <w:rFonts w:eastAsia="Times New Roman" w:cs="Arial"/>
                <w:color w:val="000000"/>
                <w:kern w:val="0"/>
                <w:szCs w:val="20"/>
                <w:lang w:eastAsia="sl-SI"/>
                <w14:ligatures w14:val="none"/>
              </w:rPr>
            </w:pPr>
          </w:p>
        </w:tc>
      </w:tr>
      <w:tr w:rsidR="00D33195" w:rsidRPr="003D3E11" w14:paraId="12D3F096" w14:textId="77777777" w:rsidTr="00D25D8D">
        <w:trPr>
          <w:trHeight w:val="465"/>
        </w:trPr>
        <w:tc>
          <w:tcPr>
            <w:tcW w:w="690" w:type="pct"/>
            <w:vMerge w:val="restart"/>
            <w:shd w:val="clear" w:color="auto" w:fill="auto"/>
            <w:noWrap/>
            <w:vAlign w:val="center"/>
            <w:hideMark/>
          </w:tcPr>
          <w:p w14:paraId="216F12AA" w14:textId="77777777" w:rsidR="00D33195" w:rsidRPr="003D3E11" w:rsidRDefault="00D33195" w:rsidP="001A6C8D">
            <w:pPr>
              <w:spacing w:after="0" w:line="240" w:lineRule="auto"/>
              <w:rPr>
                <w:rFonts w:eastAsia="Times New Roman" w:cs="Arial"/>
                <w:color w:val="000000"/>
                <w:kern w:val="0"/>
                <w:szCs w:val="20"/>
                <w:lang w:eastAsia="sl-SI"/>
                <w14:ligatures w14:val="none"/>
              </w:rPr>
            </w:pPr>
            <w:r w:rsidRPr="003D3E11">
              <w:rPr>
                <w:rFonts w:eastAsia="Times New Roman" w:cs="Arial"/>
                <w:color w:val="000000"/>
                <w:kern w:val="0"/>
                <w:szCs w:val="20"/>
                <w:lang w:eastAsia="sl-SI"/>
                <w14:ligatures w14:val="none"/>
              </w:rPr>
              <w:t>Predlog OU</w:t>
            </w:r>
          </w:p>
        </w:tc>
        <w:tc>
          <w:tcPr>
            <w:tcW w:w="304" w:type="pct"/>
            <w:shd w:val="clear" w:color="auto" w:fill="auto"/>
            <w:noWrap/>
            <w:vAlign w:val="bottom"/>
            <w:hideMark/>
          </w:tcPr>
          <w:p w14:paraId="3D2BB789" w14:textId="77777777" w:rsidR="00D33195" w:rsidRPr="003D3E11" w:rsidRDefault="00D33195" w:rsidP="00D33195">
            <w:pPr>
              <w:spacing w:after="0" w:line="240" w:lineRule="auto"/>
              <w:rPr>
                <w:rFonts w:eastAsia="Times New Roman" w:cs="Arial"/>
                <w:color w:val="000000"/>
                <w:kern w:val="0"/>
                <w:szCs w:val="20"/>
                <w:lang w:eastAsia="sl-SI"/>
                <w14:ligatures w14:val="none"/>
              </w:rPr>
            </w:pPr>
            <w:r w:rsidRPr="003D3E11">
              <w:rPr>
                <w:rFonts w:eastAsia="Times New Roman" w:cs="Arial"/>
                <w:color w:val="000000"/>
                <w:kern w:val="0"/>
                <w:szCs w:val="20"/>
                <w:lang w:eastAsia="sl-SI"/>
                <w14:ligatures w14:val="none"/>
              </w:rPr>
              <w:t>VZHOD</w:t>
            </w:r>
          </w:p>
        </w:tc>
        <w:tc>
          <w:tcPr>
            <w:tcW w:w="682" w:type="pct"/>
            <w:shd w:val="clear" w:color="auto" w:fill="auto"/>
            <w:noWrap/>
            <w:vAlign w:val="bottom"/>
            <w:hideMark/>
          </w:tcPr>
          <w:p w14:paraId="512CC9F3" w14:textId="77777777" w:rsidR="00D33195" w:rsidRPr="003D3E11" w:rsidRDefault="00D33195" w:rsidP="00D33195">
            <w:pPr>
              <w:spacing w:after="0" w:line="240" w:lineRule="auto"/>
              <w:jc w:val="right"/>
              <w:rPr>
                <w:rFonts w:eastAsia="Times New Roman" w:cs="Arial"/>
                <w:kern w:val="0"/>
                <w:szCs w:val="20"/>
                <w:lang w:eastAsia="sl-SI"/>
                <w14:ligatures w14:val="none"/>
              </w:rPr>
            </w:pPr>
            <w:r w:rsidRPr="003D3E11">
              <w:rPr>
                <w:rFonts w:eastAsia="Times New Roman" w:cs="Arial"/>
                <w:kern w:val="0"/>
                <w:szCs w:val="20"/>
                <w:lang w:eastAsia="sl-SI"/>
                <w14:ligatures w14:val="none"/>
              </w:rPr>
              <w:t>3.590.000,00</w:t>
            </w:r>
          </w:p>
        </w:tc>
        <w:tc>
          <w:tcPr>
            <w:tcW w:w="3324" w:type="pct"/>
            <w:vMerge w:val="restart"/>
            <w:shd w:val="clear" w:color="auto" w:fill="auto"/>
            <w:hideMark/>
          </w:tcPr>
          <w:p w14:paraId="3E4C5E8C" w14:textId="77777777" w:rsidR="00D33195" w:rsidRPr="003D3E11" w:rsidRDefault="00D33195" w:rsidP="005164FC">
            <w:pPr>
              <w:spacing w:after="0" w:line="240" w:lineRule="auto"/>
              <w:jc w:val="both"/>
              <w:rPr>
                <w:rFonts w:eastAsia="Times New Roman" w:cs="Arial"/>
                <w:color w:val="000000"/>
                <w:kern w:val="0"/>
                <w:szCs w:val="20"/>
                <w:lang w:eastAsia="sl-SI"/>
                <w14:ligatures w14:val="none"/>
              </w:rPr>
            </w:pPr>
            <w:r w:rsidRPr="003D3E11">
              <w:rPr>
                <w:rFonts w:eastAsia="Times New Roman" w:cs="Arial"/>
                <w:color w:val="000000"/>
                <w:kern w:val="0"/>
                <w:szCs w:val="20"/>
                <w:lang w:eastAsia="sl-SI"/>
                <w14:ligatures w14:val="none"/>
              </w:rPr>
              <w:t>V okviru programiranja so bila na SC RSO1.4 načrtovana sredstva za ukrep "Krepitev znanj in spretnosti sistemskih izvajalcev pametne specializacije", za katerega pa nikoli ni prišlo do dogovora, katero PT naj bi ga izvedlo. Sredstva se prenese na nov SC RSO1.6 za namene STEP.</w:t>
            </w:r>
          </w:p>
        </w:tc>
      </w:tr>
      <w:tr w:rsidR="00D33195" w:rsidRPr="003D3E11" w14:paraId="22734F5B" w14:textId="77777777" w:rsidTr="00D25D8D">
        <w:trPr>
          <w:trHeight w:val="465"/>
        </w:trPr>
        <w:tc>
          <w:tcPr>
            <w:tcW w:w="690" w:type="pct"/>
            <w:vMerge/>
            <w:vAlign w:val="center"/>
            <w:hideMark/>
          </w:tcPr>
          <w:p w14:paraId="67C16828" w14:textId="77777777" w:rsidR="00D33195" w:rsidRPr="000B3E1A" w:rsidRDefault="00D33195" w:rsidP="001A6C8D">
            <w:pPr>
              <w:spacing w:after="0" w:line="240" w:lineRule="auto"/>
              <w:rPr>
                <w:rFonts w:eastAsia="Times New Roman" w:cs="Arial"/>
                <w:color w:val="000000"/>
                <w:kern w:val="0"/>
                <w:szCs w:val="20"/>
                <w:lang w:eastAsia="sl-SI"/>
                <w14:ligatures w14:val="none"/>
              </w:rPr>
            </w:pPr>
          </w:p>
        </w:tc>
        <w:tc>
          <w:tcPr>
            <w:tcW w:w="304" w:type="pct"/>
            <w:shd w:val="clear" w:color="auto" w:fill="auto"/>
            <w:noWrap/>
            <w:vAlign w:val="bottom"/>
            <w:hideMark/>
          </w:tcPr>
          <w:p w14:paraId="01C5B32E" w14:textId="77777777" w:rsidR="00D33195" w:rsidRPr="000B3E1A" w:rsidRDefault="00D33195" w:rsidP="00D33195">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ZAHOD</w:t>
            </w:r>
          </w:p>
        </w:tc>
        <w:tc>
          <w:tcPr>
            <w:tcW w:w="682" w:type="pct"/>
            <w:shd w:val="clear" w:color="auto" w:fill="auto"/>
            <w:noWrap/>
            <w:vAlign w:val="bottom"/>
            <w:hideMark/>
          </w:tcPr>
          <w:p w14:paraId="1877ADBA" w14:textId="77777777" w:rsidR="00D33195" w:rsidRPr="000B3E1A" w:rsidRDefault="00D33195" w:rsidP="00D33195">
            <w:pPr>
              <w:spacing w:after="0" w:line="240" w:lineRule="auto"/>
              <w:jc w:val="right"/>
              <w:rPr>
                <w:rFonts w:eastAsia="Times New Roman" w:cs="Arial"/>
                <w:kern w:val="0"/>
                <w:szCs w:val="20"/>
                <w:lang w:eastAsia="sl-SI"/>
                <w14:ligatures w14:val="none"/>
              </w:rPr>
            </w:pPr>
            <w:r w:rsidRPr="000B3E1A">
              <w:rPr>
                <w:rFonts w:eastAsia="Times New Roman" w:cs="Arial"/>
                <w:kern w:val="0"/>
                <w:szCs w:val="20"/>
                <w:lang w:eastAsia="sl-SI"/>
                <w14:ligatures w14:val="none"/>
              </w:rPr>
              <w:t>1.000.000,00</w:t>
            </w:r>
          </w:p>
        </w:tc>
        <w:tc>
          <w:tcPr>
            <w:tcW w:w="3324" w:type="pct"/>
            <w:vMerge/>
            <w:vAlign w:val="center"/>
            <w:hideMark/>
          </w:tcPr>
          <w:p w14:paraId="42506D06" w14:textId="77777777" w:rsidR="00D33195" w:rsidRPr="000B3E1A" w:rsidRDefault="00D33195" w:rsidP="00D33195">
            <w:pPr>
              <w:spacing w:after="0" w:line="240" w:lineRule="auto"/>
              <w:rPr>
                <w:rFonts w:eastAsia="Times New Roman" w:cs="Arial"/>
                <w:color w:val="000000"/>
                <w:kern w:val="0"/>
                <w:szCs w:val="20"/>
                <w:lang w:eastAsia="sl-SI"/>
                <w14:ligatures w14:val="none"/>
              </w:rPr>
            </w:pPr>
          </w:p>
        </w:tc>
      </w:tr>
      <w:tr w:rsidR="00D33195" w:rsidRPr="003D3E11" w14:paraId="42663393" w14:textId="77777777" w:rsidTr="00D25D8D">
        <w:trPr>
          <w:trHeight w:val="465"/>
        </w:trPr>
        <w:tc>
          <w:tcPr>
            <w:tcW w:w="690" w:type="pct"/>
            <w:vMerge w:val="restart"/>
            <w:shd w:val="clear" w:color="auto" w:fill="auto"/>
            <w:noWrap/>
            <w:vAlign w:val="center"/>
            <w:hideMark/>
          </w:tcPr>
          <w:p w14:paraId="3CB8172C" w14:textId="77777777" w:rsidR="00D33195" w:rsidRPr="003D3E11" w:rsidRDefault="00D33195" w:rsidP="001A6C8D">
            <w:pPr>
              <w:spacing w:after="0" w:line="240" w:lineRule="auto"/>
              <w:rPr>
                <w:rFonts w:eastAsia="Times New Roman" w:cs="Arial"/>
                <w:color w:val="000000"/>
                <w:kern w:val="0"/>
                <w:szCs w:val="20"/>
                <w:lang w:eastAsia="sl-SI"/>
                <w14:ligatures w14:val="none"/>
              </w:rPr>
            </w:pPr>
            <w:r w:rsidRPr="003D3E11">
              <w:rPr>
                <w:rFonts w:eastAsia="Times New Roman" w:cs="Arial"/>
                <w:color w:val="000000"/>
                <w:kern w:val="0"/>
                <w:szCs w:val="20"/>
                <w:lang w:eastAsia="sl-SI"/>
                <w14:ligatures w14:val="none"/>
              </w:rPr>
              <w:t>MVZI - predlog OU</w:t>
            </w:r>
          </w:p>
        </w:tc>
        <w:tc>
          <w:tcPr>
            <w:tcW w:w="304" w:type="pct"/>
            <w:shd w:val="clear" w:color="auto" w:fill="auto"/>
            <w:noWrap/>
            <w:vAlign w:val="bottom"/>
            <w:hideMark/>
          </w:tcPr>
          <w:p w14:paraId="7D5DC6E7" w14:textId="77777777" w:rsidR="00D33195" w:rsidRPr="003D3E11" w:rsidRDefault="00D33195" w:rsidP="00D33195">
            <w:pPr>
              <w:spacing w:after="0" w:line="240" w:lineRule="auto"/>
              <w:rPr>
                <w:rFonts w:eastAsia="Times New Roman" w:cs="Arial"/>
                <w:color w:val="000000"/>
                <w:kern w:val="0"/>
                <w:szCs w:val="20"/>
                <w:lang w:eastAsia="sl-SI"/>
                <w14:ligatures w14:val="none"/>
              </w:rPr>
            </w:pPr>
            <w:r w:rsidRPr="003D3E11">
              <w:rPr>
                <w:rFonts w:eastAsia="Times New Roman" w:cs="Arial"/>
                <w:color w:val="000000"/>
                <w:kern w:val="0"/>
                <w:szCs w:val="20"/>
                <w:lang w:eastAsia="sl-SI"/>
                <w14:ligatures w14:val="none"/>
              </w:rPr>
              <w:t>VZHOD</w:t>
            </w:r>
          </w:p>
        </w:tc>
        <w:tc>
          <w:tcPr>
            <w:tcW w:w="682" w:type="pct"/>
            <w:shd w:val="clear" w:color="auto" w:fill="auto"/>
            <w:noWrap/>
            <w:vAlign w:val="bottom"/>
            <w:hideMark/>
          </w:tcPr>
          <w:p w14:paraId="11A4768B" w14:textId="77777777" w:rsidR="00D33195" w:rsidRPr="003D3E11" w:rsidRDefault="00D33195" w:rsidP="00D33195">
            <w:pPr>
              <w:spacing w:after="0" w:line="240" w:lineRule="auto"/>
              <w:jc w:val="right"/>
              <w:rPr>
                <w:rFonts w:eastAsia="Times New Roman" w:cs="Arial"/>
                <w:kern w:val="0"/>
                <w:szCs w:val="20"/>
                <w:lang w:eastAsia="sl-SI"/>
                <w14:ligatures w14:val="none"/>
              </w:rPr>
            </w:pPr>
            <w:r w:rsidRPr="003D3E11">
              <w:rPr>
                <w:rFonts w:eastAsia="Times New Roman" w:cs="Arial"/>
                <w:kern w:val="0"/>
                <w:szCs w:val="20"/>
                <w:lang w:eastAsia="sl-SI"/>
                <w14:ligatures w14:val="none"/>
              </w:rPr>
              <w:t>1.980.000,00</w:t>
            </w:r>
          </w:p>
        </w:tc>
        <w:tc>
          <w:tcPr>
            <w:tcW w:w="3324" w:type="pct"/>
            <w:vMerge w:val="restart"/>
            <w:shd w:val="clear" w:color="auto" w:fill="auto"/>
            <w:hideMark/>
          </w:tcPr>
          <w:p w14:paraId="6D647840" w14:textId="6B5931F8" w:rsidR="00D33195" w:rsidRPr="003D3E11" w:rsidRDefault="00D33195" w:rsidP="005164FC">
            <w:pPr>
              <w:spacing w:after="0" w:line="240" w:lineRule="auto"/>
              <w:jc w:val="both"/>
              <w:rPr>
                <w:rFonts w:eastAsia="Times New Roman" w:cs="Arial"/>
                <w:color w:val="000000"/>
                <w:kern w:val="0"/>
                <w:szCs w:val="20"/>
                <w:lang w:eastAsia="sl-SI"/>
                <w14:ligatures w14:val="none"/>
              </w:rPr>
            </w:pPr>
            <w:r w:rsidRPr="003D3E11">
              <w:rPr>
                <w:rFonts w:eastAsia="Times New Roman" w:cs="Arial"/>
                <w:color w:val="000000"/>
                <w:kern w:val="0"/>
                <w:szCs w:val="20"/>
                <w:lang w:eastAsia="sl-SI"/>
                <w14:ligatures w14:val="none"/>
              </w:rPr>
              <w:t>OU predlaga nižanje ukrepa v okviru RSO1.</w:t>
            </w:r>
            <w:r w:rsidR="008B465D">
              <w:rPr>
                <w:rFonts w:eastAsia="Times New Roman" w:cs="Arial"/>
                <w:color w:val="000000"/>
                <w:kern w:val="0"/>
                <w:szCs w:val="20"/>
                <w:lang w:eastAsia="sl-SI"/>
                <w14:ligatures w14:val="none"/>
              </w:rPr>
              <w:t>1</w:t>
            </w:r>
            <w:r w:rsidRPr="003D3E11">
              <w:rPr>
                <w:rFonts w:eastAsia="Times New Roman" w:cs="Arial"/>
                <w:color w:val="000000"/>
                <w:kern w:val="0"/>
                <w:szCs w:val="20"/>
                <w:lang w:eastAsia="sl-SI"/>
                <w14:ligatures w14:val="none"/>
              </w:rPr>
              <w:t>: "Raziskovalci v gospodarstvu" za 20 %. Sredstva se prenese na nov SC RSO1.6 za namene STEP.</w:t>
            </w:r>
          </w:p>
        </w:tc>
      </w:tr>
      <w:tr w:rsidR="00D33195" w:rsidRPr="003D3E11" w14:paraId="30E121FD" w14:textId="77777777" w:rsidTr="00D25D8D">
        <w:trPr>
          <w:trHeight w:val="465"/>
        </w:trPr>
        <w:tc>
          <w:tcPr>
            <w:tcW w:w="690" w:type="pct"/>
            <w:vMerge/>
            <w:vAlign w:val="center"/>
            <w:hideMark/>
          </w:tcPr>
          <w:p w14:paraId="65D55FD9" w14:textId="77777777" w:rsidR="00D33195" w:rsidRPr="000B3E1A" w:rsidRDefault="00D33195" w:rsidP="001A6C8D">
            <w:pPr>
              <w:spacing w:after="0" w:line="240" w:lineRule="auto"/>
              <w:rPr>
                <w:rFonts w:eastAsia="Times New Roman" w:cs="Arial"/>
                <w:color w:val="000000"/>
                <w:kern w:val="0"/>
                <w:szCs w:val="20"/>
                <w:lang w:eastAsia="sl-SI"/>
                <w14:ligatures w14:val="none"/>
              </w:rPr>
            </w:pPr>
          </w:p>
        </w:tc>
        <w:tc>
          <w:tcPr>
            <w:tcW w:w="304" w:type="pct"/>
            <w:shd w:val="clear" w:color="auto" w:fill="auto"/>
            <w:noWrap/>
            <w:vAlign w:val="bottom"/>
            <w:hideMark/>
          </w:tcPr>
          <w:p w14:paraId="45CAF2AE" w14:textId="77777777" w:rsidR="00D33195" w:rsidRPr="000B3E1A" w:rsidRDefault="00D33195" w:rsidP="00D33195">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ZAHOD</w:t>
            </w:r>
          </w:p>
        </w:tc>
        <w:tc>
          <w:tcPr>
            <w:tcW w:w="682" w:type="pct"/>
            <w:shd w:val="clear" w:color="auto" w:fill="auto"/>
            <w:noWrap/>
            <w:vAlign w:val="bottom"/>
            <w:hideMark/>
          </w:tcPr>
          <w:p w14:paraId="15CCD7CD" w14:textId="77777777" w:rsidR="00D33195" w:rsidRPr="000B3E1A" w:rsidRDefault="00D33195" w:rsidP="00D33195">
            <w:pPr>
              <w:spacing w:after="0" w:line="240" w:lineRule="auto"/>
              <w:jc w:val="right"/>
              <w:rPr>
                <w:rFonts w:eastAsia="Times New Roman" w:cs="Arial"/>
                <w:kern w:val="0"/>
                <w:szCs w:val="20"/>
                <w:lang w:eastAsia="sl-SI"/>
                <w14:ligatures w14:val="none"/>
              </w:rPr>
            </w:pPr>
            <w:r w:rsidRPr="000B3E1A">
              <w:rPr>
                <w:rFonts w:eastAsia="Times New Roman" w:cs="Arial"/>
                <w:kern w:val="0"/>
                <w:szCs w:val="20"/>
                <w:lang w:eastAsia="sl-SI"/>
                <w14:ligatures w14:val="none"/>
              </w:rPr>
              <w:t>1.020.000,00</w:t>
            </w:r>
          </w:p>
        </w:tc>
        <w:tc>
          <w:tcPr>
            <w:tcW w:w="3324" w:type="pct"/>
            <w:vMerge/>
            <w:vAlign w:val="center"/>
            <w:hideMark/>
          </w:tcPr>
          <w:p w14:paraId="6E7F9E19" w14:textId="77777777" w:rsidR="00D33195" w:rsidRPr="000B3E1A" w:rsidRDefault="00D33195" w:rsidP="00D33195">
            <w:pPr>
              <w:spacing w:after="0" w:line="240" w:lineRule="auto"/>
              <w:rPr>
                <w:rFonts w:eastAsia="Times New Roman" w:cs="Arial"/>
                <w:color w:val="000000"/>
                <w:kern w:val="0"/>
                <w:szCs w:val="20"/>
                <w:lang w:eastAsia="sl-SI"/>
                <w14:ligatures w14:val="none"/>
              </w:rPr>
            </w:pPr>
          </w:p>
        </w:tc>
      </w:tr>
      <w:tr w:rsidR="00D33195" w:rsidRPr="003D3E11" w14:paraId="6AD86D12" w14:textId="77777777" w:rsidTr="00D25D8D">
        <w:trPr>
          <w:trHeight w:val="465"/>
        </w:trPr>
        <w:tc>
          <w:tcPr>
            <w:tcW w:w="690" w:type="pct"/>
            <w:vMerge w:val="restart"/>
            <w:shd w:val="clear" w:color="auto" w:fill="auto"/>
            <w:noWrap/>
            <w:vAlign w:val="center"/>
            <w:hideMark/>
          </w:tcPr>
          <w:p w14:paraId="47E1B8F5" w14:textId="77777777" w:rsidR="00D33195" w:rsidRPr="003D3E11" w:rsidRDefault="00D33195" w:rsidP="001A6C8D">
            <w:pPr>
              <w:spacing w:after="0" w:line="240" w:lineRule="auto"/>
              <w:rPr>
                <w:rFonts w:eastAsia="Times New Roman" w:cs="Arial"/>
                <w:color w:val="000000"/>
                <w:kern w:val="0"/>
                <w:szCs w:val="20"/>
                <w:lang w:eastAsia="sl-SI"/>
                <w14:ligatures w14:val="none"/>
              </w:rPr>
            </w:pPr>
            <w:r w:rsidRPr="003D3E11">
              <w:rPr>
                <w:rFonts w:eastAsia="Times New Roman" w:cs="Arial"/>
                <w:color w:val="000000"/>
                <w:kern w:val="0"/>
                <w:szCs w:val="20"/>
                <w:lang w:eastAsia="sl-SI"/>
                <w14:ligatures w14:val="none"/>
              </w:rPr>
              <w:t>MOPE - predlog OU</w:t>
            </w:r>
          </w:p>
        </w:tc>
        <w:tc>
          <w:tcPr>
            <w:tcW w:w="304" w:type="pct"/>
            <w:shd w:val="clear" w:color="auto" w:fill="auto"/>
            <w:noWrap/>
            <w:vAlign w:val="bottom"/>
            <w:hideMark/>
          </w:tcPr>
          <w:p w14:paraId="398164DF" w14:textId="77777777" w:rsidR="00D33195" w:rsidRPr="003D3E11" w:rsidRDefault="00D33195" w:rsidP="00D33195">
            <w:pPr>
              <w:spacing w:after="0" w:line="240" w:lineRule="auto"/>
              <w:rPr>
                <w:rFonts w:eastAsia="Times New Roman" w:cs="Arial"/>
                <w:color w:val="000000"/>
                <w:kern w:val="0"/>
                <w:szCs w:val="20"/>
                <w:lang w:eastAsia="sl-SI"/>
                <w14:ligatures w14:val="none"/>
              </w:rPr>
            </w:pPr>
            <w:r w:rsidRPr="003D3E11">
              <w:rPr>
                <w:rFonts w:eastAsia="Times New Roman" w:cs="Arial"/>
                <w:color w:val="000000"/>
                <w:kern w:val="0"/>
                <w:szCs w:val="20"/>
                <w:lang w:eastAsia="sl-SI"/>
                <w14:ligatures w14:val="none"/>
              </w:rPr>
              <w:t>VZHOD</w:t>
            </w:r>
          </w:p>
        </w:tc>
        <w:tc>
          <w:tcPr>
            <w:tcW w:w="682" w:type="pct"/>
            <w:shd w:val="clear" w:color="auto" w:fill="auto"/>
            <w:noWrap/>
            <w:vAlign w:val="bottom"/>
            <w:hideMark/>
          </w:tcPr>
          <w:p w14:paraId="34079EFF" w14:textId="77777777" w:rsidR="00D33195" w:rsidRPr="003D3E11" w:rsidRDefault="00D33195" w:rsidP="00D33195">
            <w:pPr>
              <w:spacing w:after="0" w:line="240" w:lineRule="auto"/>
              <w:jc w:val="right"/>
              <w:rPr>
                <w:rFonts w:eastAsia="Times New Roman" w:cs="Arial"/>
                <w:kern w:val="0"/>
                <w:szCs w:val="20"/>
                <w:lang w:eastAsia="sl-SI"/>
                <w14:ligatures w14:val="none"/>
              </w:rPr>
            </w:pPr>
            <w:r w:rsidRPr="003D3E11">
              <w:rPr>
                <w:rFonts w:eastAsia="Times New Roman" w:cs="Arial"/>
                <w:kern w:val="0"/>
                <w:szCs w:val="20"/>
                <w:lang w:eastAsia="sl-SI"/>
                <w14:ligatures w14:val="none"/>
              </w:rPr>
              <w:t>14.500.000,00</w:t>
            </w:r>
          </w:p>
        </w:tc>
        <w:tc>
          <w:tcPr>
            <w:tcW w:w="3324" w:type="pct"/>
            <w:vMerge w:val="restart"/>
            <w:shd w:val="clear" w:color="auto" w:fill="auto"/>
            <w:hideMark/>
          </w:tcPr>
          <w:p w14:paraId="236B6A44" w14:textId="4114A9D2" w:rsidR="00D33195" w:rsidRPr="003D3E11" w:rsidRDefault="00DE45A3" w:rsidP="005164FC">
            <w:pPr>
              <w:spacing w:after="0" w:line="240" w:lineRule="auto"/>
              <w:jc w:val="both"/>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P</w:t>
            </w:r>
            <w:r w:rsidR="00D33195" w:rsidRPr="003D3E11">
              <w:rPr>
                <w:rFonts w:eastAsia="Times New Roman" w:cs="Arial"/>
                <w:color w:val="000000"/>
                <w:kern w:val="0"/>
                <w:szCs w:val="20"/>
                <w:lang w:eastAsia="sl-SI"/>
                <w14:ligatures w14:val="none"/>
              </w:rPr>
              <w:t xml:space="preserve">redlaga </w:t>
            </w:r>
            <w:r>
              <w:rPr>
                <w:rFonts w:eastAsia="Times New Roman" w:cs="Arial"/>
                <w:color w:val="000000"/>
                <w:kern w:val="0"/>
                <w:szCs w:val="20"/>
                <w:lang w:eastAsia="sl-SI"/>
                <w14:ligatures w14:val="none"/>
              </w:rPr>
              <w:t xml:space="preserve">se </w:t>
            </w:r>
            <w:r w:rsidR="00D33195" w:rsidRPr="003D3E11">
              <w:rPr>
                <w:rFonts w:eastAsia="Times New Roman" w:cs="Arial"/>
                <w:color w:val="000000"/>
                <w:kern w:val="0"/>
                <w:szCs w:val="20"/>
                <w:lang w:eastAsia="sl-SI"/>
                <w14:ligatures w14:val="none"/>
              </w:rPr>
              <w:t xml:space="preserve">nižanje dveh ukrepov: Spodbujanje naložb in tehnologij za pretvorbo viškov električne energije iz OVE ter povezovanje omrežij za potrebe shranjevanja energije ob pretvorbi na RSO 2.3 (16 mio EUR) in </w:t>
            </w:r>
            <w:r w:rsidRPr="00DE45A3">
              <w:rPr>
                <w:rFonts w:eastAsia="Times New Roman" w:cs="Arial"/>
                <w:color w:val="000000"/>
                <w:kern w:val="0"/>
                <w:szCs w:val="20"/>
                <w:lang w:eastAsia="sl-SI"/>
                <w14:ligatures w14:val="none"/>
              </w:rPr>
              <w:t>Spodbujanje novih daljinskih sistemov na OVE (ogrevanje in hlajenje</w:t>
            </w:r>
            <w:r w:rsidR="00D33195" w:rsidRPr="003D3E11">
              <w:rPr>
                <w:rFonts w:eastAsia="Times New Roman" w:cs="Arial"/>
                <w:color w:val="000000"/>
                <w:kern w:val="0"/>
                <w:szCs w:val="20"/>
                <w:lang w:eastAsia="sl-SI"/>
                <w14:ligatures w14:val="none"/>
              </w:rPr>
              <w:t xml:space="preserve">) na RSO 2.2 (4 mio EUR) iz Cilja politike 2 – ukrepa nista pripravljena za izvedbo in se zamuja z izvajanjem. </w:t>
            </w:r>
          </w:p>
        </w:tc>
      </w:tr>
      <w:tr w:rsidR="00D33195" w:rsidRPr="003D3E11" w14:paraId="5F590163" w14:textId="77777777" w:rsidTr="00D25D8D">
        <w:trPr>
          <w:trHeight w:val="465"/>
        </w:trPr>
        <w:tc>
          <w:tcPr>
            <w:tcW w:w="690" w:type="pct"/>
            <w:vMerge/>
            <w:vAlign w:val="center"/>
            <w:hideMark/>
          </w:tcPr>
          <w:p w14:paraId="0BDD387D" w14:textId="77777777" w:rsidR="00D33195" w:rsidRPr="000B3E1A" w:rsidRDefault="00D33195" w:rsidP="00D33195">
            <w:pPr>
              <w:spacing w:after="0" w:line="240" w:lineRule="auto"/>
              <w:rPr>
                <w:rFonts w:eastAsia="Times New Roman" w:cs="Arial"/>
                <w:color w:val="000000"/>
                <w:kern w:val="0"/>
                <w:szCs w:val="20"/>
                <w:lang w:eastAsia="sl-SI"/>
                <w14:ligatures w14:val="none"/>
              </w:rPr>
            </w:pPr>
          </w:p>
        </w:tc>
        <w:tc>
          <w:tcPr>
            <w:tcW w:w="304" w:type="pct"/>
            <w:shd w:val="clear" w:color="auto" w:fill="auto"/>
            <w:noWrap/>
            <w:vAlign w:val="bottom"/>
            <w:hideMark/>
          </w:tcPr>
          <w:p w14:paraId="40CCCB15" w14:textId="77777777" w:rsidR="00D33195" w:rsidRPr="000B3E1A" w:rsidRDefault="00D33195" w:rsidP="00D33195">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ZAHOD</w:t>
            </w:r>
          </w:p>
        </w:tc>
        <w:tc>
          <w:tcPr>
            <w:tcW w:w="682" w:type="pct"/>
            <w:shd w:val="clear" w:color="auto" w:fill="auto"/>
            <w:noWrap/>
            <w:vAlign w:val="bottom"/>
            <w:hideMark/>
          </w:tcPr>
          <w:p w14:paraId="0B97BCE6" w14:textId="77777777" w:rsidR="00D33195" w:rsidRPr="000B3E1A" w:rsidRDefault="00D33195" w:rsidP="00D33195">
            <w:pPr>
              <w:spacing w:after="0" w:line="240" w:lineRule="auto"/>
              <w:jc w:val="right"/>
              <w:rPr>
                <w:rFonts w:eastAsia="Times New Roman" w:cs="Arial"/>
                <w:kern w:val="0"/>
                <w:szCs w:val="20"/>
                <w:lang w:eastAsia="sl-SI"/>
                <w14:ligatures w14:val="none"/>
              </w:rPr>
            </w:pPr>
            <w:r w:rsidRPr="000B3E1A">
              <w:rPr>
                <w:rFonts w:eastAsia="Times New Roman" w:cs="Arial"/>
                <w:kern w:val="0"/>
                <w:szCs w:val="20"/>
                <w:lang w:eastAsia="sl-SI"/>
                <w14:ligatures w14:val="none"/>
              </w:rPr>
              <w:t>5.500.000,00</w:t>
            </w:r>
          </w:p>
        </w:tc>
        <w:tc>
          <w:tcPr>
            <w:tcW w:w="3324" w:type="pct"/>
            <w:vMerge/>
            <w:vAlign w:val="center"/>
            <w:hideMark/>
          </w:tcPr>
          <w:p w14:paraId="573675FB" w14:textId="77777777" w:rsidR="00D33195" w:rsidRPr="000B3E1A" w:rsidRDefault="00D33195" w:rsidP="00D33195">
            <w:pPr>
              <w:spacing w:after="0" w:line="240" w:lineRule="auto"/>
              <w:rPr>
                <w:rFonts w:eastAsia="Times New Roman" w:cs="Arial"/>
                <w:color w:val="000000"/>
                <w:kern w:val="0"/>
                <w:szCs w:val="20"/>
                <w:lang w:eastAsia="sl-SI"/>
                <w14:ligatures w14:val="none"/>
              </w:rPr>
            </w:pPr>
          </w:p>
        </w:tc>
      </w:tr>
      <w:tr w:rsidR="00D33195" w:rsidRPr="003D3E11" w14:paraId="496D79A5" w14:textId="77777777" w:rsidTr="00D25D8D">
        <w:trPr>
          <w:trHeight w:val="465"/>
        </w:trPr>
        <w:tc>
          <w:tcPr>
            <w:tcW w:w="690" w:type="pct"/>
            <w:vMerge w:val="restart"/>
            <w:shd w:val="clear" w:color="auto" w:fill="D9E2F3" w:themeFill="accent1" w:themeFillTint="33"/>
            <w:noWrap/>
            <w:vAlign w:val="center"/>
            <w:hideMark/>
          </w:tcPr>
          <w:p w14:paraId="74971FAF" w14:textId="77777777" w:rsidR="00D33195" w:rsidRPr="003D3E11" w:rsidRDefault="00D33195" w:rsidP="001A6C8D">
            <w:pPr>
              <w:spacing w:after="0" w:line="240" w:lineRule="auto"/>
              <w:rPr>
                <w:rFonts w:eastAsia="Times New Roman" w:cs="Arial"/>
                <w:b/>
                <w:bCs/>
                <w:color w:val="000000"/>
                <w:kern w:val="0"/>
                <w:szCs w:val="20"/>
                <w:lang w:eastAsia="sl-SI"/>
                <w14:ligatures w14:val="none"/>
              </w:rPr>
            </w:pPr>
            <w:r w:rsidRPr="003D3E11">
              <w:rPr>
                <w:rFonts w:eastAsia="Times New Roman" w:cs="Arial"/>
                <w:b/>
                <w:bCs/>
                <w:color w:val="000000"/>
                <w:kern w:val="0"/>
                <w:szCs w:val="20"/>
                <w:lang w:eastAsia="sl-SI"/>
                <w14:ligatures w14:val="none"/>
              </w:rPr>
              <w:t>SKUPAJ</w:t>
            </w:r>
          </w:p>
        </w:tc>
        <w:tc>
          <w:tcPr>
            <w:tcW w:w="304" w:type="pct"/>
            <w:shd w:val="clear" w:color="auto" w:fill="D9E2F3" w:themeFill="accent1" w:themeFillTint="33"/>
            <w:noWrap/>
            <w:vAlign w:val="bottom"/>
            <w:hideMark/>
          </w:tcPr>
          <w:p w14:paraId="64A76BEA" w14:textId="77777777" w:rsidR="00D33195" w:rsidRPr="003D3E11" w:rsidRDefault="00D33195" w:rsidP="00D33195">
            <w:pPr>
              <w:spacing w:after="0" w:line="240" w:lineRule="auto"/>
              <w:rPr>
                <w:rFonts w:eastAsia="Times New Roman" w:cs="Arial"/>
                <w:b/>
                <w:bCs/>
                <w:color w:val="000000"/>
                <w:kern w:val="0"/>
                <w:szCs w:val="20"/>
                <w:lang w:eastAsia="sl-SI"/>
                <w14:ligatures w14:val="none"/>
              </w:rPr>
            </w:pPr>
            <w:r w:rsidRPr="003D3E11">
              <w:rPr>
                <w:rFonts w:eastAsia="Times New Roman" w:cs="Arial"/>
                <w:b/>
                <w:bCs/>
                <w:color w:val="000000"/>
                <w:kern w:val="0"/>
                <w:szCs w:val="20"/>
                <w:lang w:eastAsia="sl-SI"/>
                <w14:ligatures w14:val="none"/>
              </w:rPr>
              <w:t>VZHOD</w:t>
            </w:r>
          </w:p>
        </w:tc>
        <w:tc>
          <w:tcPr>
            <w:tcW w:w="682" w:type="pct"/>
            <w:shd w:val="clear" w:color="auto" w:fill="D9E2F3" w:themeFill="accent1" w:themeFillTint="33"/>
            <w:noWrap/>
            <w:vAlign w:val="bottom"/>
            <w:hideMark/>
          </w:tcPr>
          <w:p w14:paraId="05E3ED38" w14:textId="77777777" w:rsidR="00D33195" w:rsidRPr="003D3E11" w:rsidRDefault="00D33195" w:rsidP="00D33195">
            <w:pPr>
              <w:spacing w:after="0" w:line="240" w:lineRule="auto"/>
              <w:jc w:val="right"/>
              <w:rPr>
                <w:rFonts w:eastAsia="Times New Roman" w:cs="Arial"/>
                <w:b/>
                <w:bCs/>
                <w:color w:val="000000"/>
                <w:kern w:val="0"/>
                <w:szCs w:val="20"/>
                <w:lang w:eastAsia="sl-SI"/>
                <w14:ligatures w14:val="none"/>
              </w:rPr>
            </w:pPr>
            <w:r w:rsidRPr="003D3E11">
              <w:rPr>
                <w:rFonts w:eastAsia="Times New Roman" w:cs="Arial"/>
                <w:b/>
                <w:bCs/>
                <w:color w:val="000000"/>
                <w:kern w:val="0"/>
                <w:szCs w:val="20"/>
                <w:lang w:eastAsia="sl-SI"/>
                <w14:ligatures w14:val="none"/>
              </w:rPr>
              <w:t>71.099.614,00</w:t>
            </w:r>
          </w:p>
        </w:tc>
        <w:tc>
          <w:tcPr>
            <w:tcW w:w="3324" w:type="pct"/>
            <w:vMerge w:val="restart"/>
            <w:shd w:val="clear" w:color="auto" w:fill="D9E2F3" w:themeFill="accent1" w:themeFillTint="33"/>
            <w:hideMark/>
          </w:tcPr>
          <w:p w14:paraId="14101E77" w14:textId="77777777" w:rsidR="00D33195" w:rsidRPr="003D3E11" w:rsidRDefault="00D33195" w:rsidP="00D33195">
            <w:pPr>
              <w:spacing w:after="0" w:line="240" w:lineRule="auto"/>
              <w:rPr>
                <w:rFonts w:eastAsia="Times New Roman" w:cs="Arial"/>
                <w:color w:val="000000"/>
                <w:kern w:val="0"/>
                <w:szCs w:val="20"/>
                <w:lang w:eastAsia="sl-SI"/>
                <w14:ligatures w14:val="none"/>
              </w:rPr>
            </w:pPr>
            <w:r w:rsidRPr="003D3E11">
              <w:rPr>
                <w:rFonts w:eastAsia="Times New Roman" w:cs="Arial"/>
                <w:color w:val="000000"/>
                <w:kern w:val="0"/>
                <w:szCs w:val="20"/>
                <w:lang w:eastAsia="sl-SI"/>
                <w14:ligatures w14:val="none"/>
              </w:rPr>
              <w:t> </w:t>
            </w:r>
          </w:p>
        </w:tc>
      </w:tr>
      <w:tr w:rsidR="00D33195" w:rsidRPr="003D3E11" w14:paraId="335086EA" w14:textId="77777777" w:rsidTr="00D25D8D">
        <w:trPr>
          <w:trHeight w:val="465"/>
        </w:trPr>
        <w:tc>
          <w:tcPr>
            <w:tcW w:w="690" w:type="pct"/>
            <w:vMerge/>
            <w:vAlign w:val="center"/>
            <w:hideMark/>
          </w:tcPr>
          <w:p w14:paraId="07E0948C" w14:textId="77777777" w:rsidR="00D33195" w:rsidRPr="000B3E1A" w:rsidRDefault="00D33195" w:rsidP="00D33195">
            <w:pPr>
              <w:spacing w:after="0" w:line="240" w:lineRule="auto"/>
              <w:rPr>
                <w:rFonts w:eastAsia="Times New Roman" w:cs="Arial"/>
                <w:b/>
                <w:bCs/>
                <w:color w:val="000000"/>
                <w:kern w:val="0"/>
                <w:szCs w:val="20"/>
                <w:lang w:eastAsia="sl-SI"/>
                <w14:ligatures w14:val="none"/>
              </w:rPr>
            </w:pPr>
          </w:p>
        </w:tc>
        <w:tc>
          <w:tcPr>
            <w:tcW w:w="304" w:type="pct"/>
            <w:shd w:val="clear" w:color="auto" w:fill="D9E2F3" w:themeFill="accent1" w:themeFillTint="33"/>
            <w:noWrap/>
            <w:vAlign w:val="bottom"/>
            <w:hideMark/>
          </w:tcPr>
          <w:p w14:paraId="4DAF7E06" w14:textId="77777777" w:rsidR="00D33195" w:rsidRPr="000B3E1A" w:rsidRDefault="00D33195" w:rsidP="00D33195">
            <w:pPr>
              <w:spacing w:after="0" w:line="240" w:lineRule="auto"/>
              <w:rPr>
                <w:rFonts w:eastAsia="Times New Roman" w:cs="Arial"/>
                <w:b/>
                <w:bCs/>
                <w:color w:val="000000"/>
                <w:kern w:val="0"/>
                <w:szCs w:val="20"/>
                <w:lang w:eastAsia="sl-SI"/>
                <w14:ligatures w14:val="none"/>
              </w:rPr>
            </w:pPr>
            <w:r w:rsidRPr="000B3E1A">
              <w:rPr>
                <w:rFonts w:eastAsia="Times New Roman" w:cs="Arial"/>
                <w:b/>
                <w:bCs/>
                <w:color w:val="000000"/>
                <w:kern w:val="0"/>
                <w:szCs w:val="20"/>
                <w:lang w:eastAsia="sl-SI"/>
                <w14:ligatures w14:val="none"/>
              </w:rPr>
              <w:t>ZAHOD</w:t>
            </w:r>
          </w:p>
        </w:tc>
        <w:tc>
          <w:tcPr>
            <w:tcW w:w="682" w:type="pct"/>
            <w:shd w:val="clear" w:color="auto" w:fill="D9E2F3" w:themeFill="accent1" w:themeFillTint="33"/>
            <w:noWrap/>
            <w:vAlign w:val="bottom"/>
            <w:hideMark/>
          </w:tcPr>
          <w:p w14:paraId="60828ABD" w14:textId="77777777" w:rsidR="00D33195" w:rsidRPr="000B3E1A" w:rsidRDefault="00D33195" w:rsidP="00D33195">
            <w:pPr>
              <w:spacing w:after="0" w:line="240" w:lineRule="auto"/>
              <w:jc w:val="right"/>
              <w:rPr>
                <w:rFonts w:eastAsia="Times New Roman" w:cs="Arial"/>
                <w:b/>
                <w:bCs/>
                <w:color w:val="000000"/>
                <w:kern w:val="0"/>
                <w:szCs w:val="20"/>
                <w:lang w:eastAsia="sl-SI"/>
                <w14:ligatures w14:val="none"/>
              </w:rPr>
            </w:pPr>
            <w:r w:rsidRPr="000B3E1A">
              <w:rPr>
                <w:rFonts w:eastAsia="Times New Roman" w:cs="Arial"/>
                <w:b/>
                <w:bCs/>
                <w:color w:val="000000"/>
                <w:kern w:val="0"/>
                <w:szCs w:val="20"/>
                <w:lang w:eastAsia="sl-SI"/>
                <w14:ligatures w14:val="none"/>
              </w:rPr>
              <w:t>28.900.386,00</w:t>
            </w:r>
          </w:p>
        </w:tc>
        <w:tc>
          <w:tcPr>
            <w:tcW w:w="3324" w:type="pct"/>
            <w:vMerge/>
            <w:vAlign w:val="center"/>
            <w:hideMark/>
          </w:tcPr>
          <w:p w14:paraId="0B115758" w14:textId="77777777" w:rsidR="00D33195" w:rsidRPr="000B3E1A" w:rsidRDefault="00D33195" w:rsidP="00D33195">
            <w:pPr>
              <w:spacing w:after="0" w:line="240" w:lineRule="auto"/>
              <w:rPr>
                <w:rFonts w:eastAsia="Times New Roman" w:cs="Arial"/>
                <w:color w:val="000000"/>
                <w:kern w:val="0"/>
                <w:szCs w:val="20"/>
                <w:lang w:eastAsia="sl-SI"/>
                <w14:ligatures w14:val="none"/>
              </w:rPr>
            </w:pPr>
          </w:p>
        </w:tc>
      </w:tr>
      <w:tr w:rsidR="00D33195" w:rsidRPr="003D3E11" w14:paraId="0C2A7878" w14:textId="77777777" w:rsidTr="00D25D8D">
        <w:trPr>
          <w:trHeight w:val="465"/>
        </w:trPr>
        <w:tc>
          <w:tcPr>
            <w:tcW w:w="994" w:type="pct"/>
            <w:gridSpan w:val="2"/>
            <w:shd w:val="clear" w:color="auto" w:fill="D9E2F3" w:themeFill="accent1" w:themeFillTint="33"/>
            <w:noWrap/>
            <w:vAlign w:val="center"/>
            <w:hideMark/>
          </w:tcPr>
          <w:p w14:paraId="33547E79" w14:textId="77777777" w:rsidR="00D33195" w:rsidRPr="003D3E11" w:rsidRDefault="00D33195" w:rsidP="00D33195">
            <w:pPr>
              <w:spacing w:after="0" w:line="240" w:lineRule="auto"/>
              <w:jc w:val="right"/>
              <w:rPr>
                <w:rFonts w:eastAsia="Times New Roman" w:cs="Arial"/>
                <w:b/>
                <w:bCs/>
                <w:color w:val="000000"/>
                <w:kern w:val="0"/>
                <w:szCs w:val="20"/>
                <w:lang w:eastAsia="sl-SI"/>
                <w14:ligatures w14:val="none"/>
              </w:rPr>
            </w:pPr>
            <w:r w:rsidRPr="003D3E11">
              <w:rPr>
                <w:rFonts w:eastAsia="Times New Roman" w:cs="Arial"/>
                <w:b/>
                <w:bCs/>
                <w:color w:val="000000"/>
                <w:kern w:val="0"/>
                <w:szCs w:val="20"/>
                <w:lang w:eastAsia="sl-SI"/>
                <w14:ligatures w14:val="none"/>
              </w:rPr>
              <w:t>SKUPAJ</w:t>
            </w:r>
          </w:p>
        </w:tc>
        <w:tc>
          <w:tcPr>
            <w:tcW w:w="682" w:type="pct"/>
            <w:shd w:val="clear" w:color="auto" w:fill="D9E2F3" w:themeFill="accent1" w:themeFillTint="33"/>
            <w:noWrap/>
            <w:vAlign w:val="bottom"/>
            <w:hideMark/>
          </w:tcPr>
          <w:p w14:paraId="4B84BC07" w14:textId="77777777" w:rsidR="00D33195" w:rsidRPr="003D3E11" w:rsidRDefault="00D33195" w:rsidP="00D33195">
            <w:pPr>
              <w:spacing w:after="0" w:line="240" w:lineRule="auto"/>
              <w:jc w:val="right"/>
              <w:rPr>
                <w:rFonts w:eastAsia="Times New Roman" w:cs="Arial"/>
                <w:b/>
                <w:bCs/>
                <w:color w:val="000000"/>
                <w:kern w:val="0"/>
                <w:szCs w:val="20"/>
                <w:lang w:eastAsia="sl-SI"/>
                <w14:ligatures w14:val="none"/>
              </w:rPr>
            </w:pPr>
            <w:r w:rsidRPr="003D3E11">
              <w:rPr>
                <w:rFonts w:eastAsia="Times New Roman" w:cs="Arial"/>
                <w:b/>
                <w:bCs/>
                <w:color w:val="000000"/>
                <w:kern w:val="0"/>
                <w:szCs w:val="20"/>
                <w:lang w:eastAsia="sl-SI"/>
                <w14:ligatures w14:val="none"/>
              </w:rPr>
              <w:t>100.000.000,00</w:t>
            </w:r>
          </w:p>
        </w:tc>
        <w:tc>
          <w:tcPr>
            <w:tcW w:w="3324" w:type="pct"/>
            <w:shd w:val="clear" w:color="auto" w:fill="D9E2F3" w:themeFill="accent1" w:themeFillTint="33"/>
            <w:noWrap/>
            <w:vAlign w:val="bottom"/>
            <w:hideMark/>
          </w:tcPr>
          <w:p w14:paraId="3E2E2ABD" w14:textId="77777777" w:rsidR="00D33195" w:rsidRPr="003D3E11" w:rsidRDefault="00D33195" w:rsidP="00D33195">
            <w:pPr>
              <w:spacing w:after="0" w:line="240" w:lineRule="auto"/>
              <w:rPr>
                <w:rFonts w:eastAsia="Times New Roman" w:cs="Arial"/>
                <w:color w:val="000000"/>
                <w:kern w:val="0"/>
                <w:szCs w:val="20"/>
                <w:lang w:eastAsia="sl-SI"/>
                <w14:ligatures w14:val="none"/>
              </w:rPr>
            </w:pPr>
            <w:r w:rsidRPr="003D3E11">
              <w:rPr>
                <w:rFonts w:eastAsia="Times New Roman" w:cs="Arial"/>
                <w:color w:val="000000"/>
                <w:kern w:val="0"/>
                <w:szCs w:val="20"/>
                <w:lang w:eastAsia="sl-SI"/>
                <w14:ligatures w14:val="none"/>
              </w:rPr>
              <w:t> </w:t>
            </w:r>
          </w:p>
        </w:tc>
      </w:tr>
    </w:tbl>
    <w:p w14:paraId="36B29DE5" w14:textId="77777777" w:rsidR="00D33195" w:rsidRDefault="00D33195" w:rsidP="00592CC4">
      <w:pPr>
        <w:spacing w:line="276" w:lineRule="auto"/>
        <w:jc w:val="both"/>
        <w:rPr>
          <w:rFonts w:cs="Arial"/>
          <w:szCs w:val="20"/>
        </w:rPr>
        <w:sectPr w:rsidR="00D33195" w:rsidSect="00D33195">
          <w:pgSz w:w="16838" w:h="11906" w:orient="landscape"/>
          <w:pgMar w:top="1418" w:right="1418" w:bottom="1418" w:left="1418" w:header="709" w:footer="709" w:gutter="0"/>
          <w:cols w:space="708"/>
          <w:docGrid w:linePitch="360"/>
        </w:sectPr>
      </w:pPr>
    </w:p>
    <w:p w14:paraId="6EAEB1F4" w14:textId="3AC36959" w:rsidR="008B465D" w:rsidRDefault="008B465D" w:rsidP="007E11BA">
      <w:pPr>
        <w:pStyle w:val="Naslov2"/>
        <w:numPr>
          <w:ilvl w:val="1"/>
          <w:numId w:val="23"/>
        </w:numPr>
      </w:pPr>
      <w:bookmarkStart w:id="15" w:name="_Toc191383847"/>
      <w:bookmarkStart w:id="16" w:name="_Hlk188844463"/>
      <w:r>
        <w:lastRenderedPageBreak/>
        <w:t xml:space="preserve">Predlog spremembe zaradi STEP na RSO 1.1. </w:t>
      </w:r>
      <w:r w:rsidRPr="008B465D">
        <w:t>Razvoj in izboljšanje raziskovalne in inovacijske zmogljivosti ter uvajanje naprednih tehnologij (ESRR)</w:t>
      </w:r>
      <w:bookmarkEnd w:id="15"/>
    </w:p>
    <w:p w14:paraId="53FA1EDB" w14:textId="77777777" w:rsidR="008B465D" w:rsidRDefault="008B465D" w:rsidP="001A2407">
      <w:pPr>
        <w:spacing w:after="0"/>
      </w:pPr>
    </w:p>
    <w:p w14:paraId="5A026FF6" w14:textId="209E3F78" w:rsidR="008B465D" w:rsidRDefault="008B465D" w:rsidP="00380B14">
      <w:pPr>
        <w:spacing w:after="0"/>
        <w:jc w:val="both"/>
      </w:pPr>
      <w:r>
        <w:t xml:space="preserve">Za namene STEP se predlaga </w:t>
      </w:r>
      <w:r w:rsidR="00B569D0">
        <w:t>z</w:t>
      </w:r>
      <w:r>
        <w:t xml:space="preserve">nižanje </w:t>
      </w:r>
      <w:r w:rsidR="00B569D0">
        <w:t>sredstev</w:t>
      </w:r>
      <w:r w:rsidR="007F4D66">
        <w:t xml:space="preserve"> in posledično sprememba kazalnikov</w:t>
      </w:r>
      <w:r w:rsidR="00B569D0">
        <w:t xml:space="preserve"> v okviru ukrepov »DEMO/PILOTI«, »RRI« in »Raziskovalci v gospodarstvu«</w:t>
      </w:r>
      <w:r w:rsidR="007F4D66">
        <w:t xml:space="preserve"> kot je prikazano v spodnjih tabelah:</w:t>
      </w:r>
    </w:p>
    <w:p w14:paraId="3CF95634" w14:textId="77777777" w:rsidR="00380B14" w:rsidRDefault="00380B14" w:rsidP="00380B14">
      <w:pPr>
        <w:spacing w:after="0"/>
        <w:jc w:val="both"/>
      </w:pPr>
    </w:p>
    <w:p w14:paraId="23816930" w14:textId="4D66B37A" w:rsidR="008E059A" w:rsidRPr="00814485" w:rsidRDefault="008E059A" w:rsidP="00814485">
      <w:pPr>
        <w:pStyle w:val="Napis"/>
        <w:keepNext/>
        <w:spacing w:after="0"/>
        <w:jc w:val="both"/>
        <w:rPr>
          <w:i w:val="0"/>
          <w:iCs w:val="0"/>
          <w:color w:val="auto"/>
          <w:sz w:val="20"/>
          <w:szCs w:val="20"/>
        </w:rPr>
      </w:pPr>
      <w:bookmarkStart w:id="17" w:name="_Toc191459947"/>
      <w:r w:rsidRPr="00814485">
        <w:rPr>
          <w:i w:val="0"/>
          <w:iCs w:val="0"/>
          <w:color w:val="auto"/>
          <w:sz w:val="20"/>
          <w:szCs w:val="20"/>
        </w:rPr>
        <w:t xml:space="preserve">Tabela </w:t>
      </w:r>
      <w:r w:rsidRPr="00814485">
        <w:rPr>
          <w:i w:val="0"/>
          <w:iCs w:val="0"/>
          <w:color w:val="auto"/>
          <w:sz w:val="20"/>
          <w:szCs w:val="20"/>
        </w:rPr>
        <w:fldChar w:fldCharType="begin"/>
      </w:r>
      <w:r w:rsidRPr="00814485">
        <w:rPr>
          <w:i w:val="0"/>
          <w:iCs w:val="0"/>
          <w:color w:val="auto"/>
          <w:sz w:val="20"/>
          <w:szCs w:val="20"/>
        </w:rPr>
        <w:instrText xml:space="preserve"> SEQ Tabela \* ARABIC </w:instrText>
      </w:r>
      <w:r w:rsidRPr="00814485">
        <w:rPr>
          <w:i w:val="0"/>
          <w:iCs w:val="0"/>
          <w:color w:val="auto"/>
          <w:sz w:val="20"/>
          <w:szCs w:val="20"/>
        </w:rPr>
        <w:fldChar w:fldCharType="separate"/>
      </w:r>
      <w:r w:rsidR="00784805">
        <w:rPr>
          <w:i w:val="0"/>
          <w:iCs w:val="0"/>
          <w:noProof/>
          <w:color w:val="auto"/>
          <w:sz w:val="20"/>
          <w:szCs w:val="20"/>
        </w:rPr>
        <w:t>3</w:t>
      </w:r>
      <w:r w:rsidRPr="00814485">
        <w:rPr>
          <w:i w:val="0"/>
          <w:iCs w:val="0"/>
          <w:color w:val="auto"/>
          <w:sz w:val="20"/>
          <w:szCs w:val="20"/>
        </w:rPr>
        <w:fldChar w:fldCharType="end"/>
      </w:r>
      <w:r w:rsidRPr="00814485">
        <w:rPr>
          <w:i w:val="0"/>
          <w:iCs w:val="0"/>
          <w:color w:val="auto"/>
          <w:sz w:val="20"/>
          <w:szCs w:val="20"/>
        </w:rPr>
        <w:t>: Predlagano znižanje sredstev se odrazi v delu »Tabela 4: Razsežnost 1 – področje ukrepanja«</w:t>
      </w:r>
      <w:bookmarkEnd w:id="17"/>
    </w:p>
    <w:p w14:paraId="0F37D8D6" w14:textId="77777777" w:rsidR="008E059A" w:rsidRPr="008E059A" w:rsidRDefault="008E059A" w:rsidP="008E059A">
      <w:pPr>
        <w:spacing w:after="0"/>
      </w:pPr>
    </w:p>
    <w:tbl>
      <w:tblPr>
        <w:tblStyle w:val="Tabelamrea1"/>
        <w:tblW w:w="9261" w:type="dxa"/>
        <w:tblLook w:val="04A0" w:firstRow="1" w:lastRow="0" w:firstColumn="1" w:lastColumn="0" w:noHBand="0" w:noVBand="1"/>
      </w:tblPr>
      <w:tblGrid>
        <w:gridCol w:w="846"/>
        <w:gridCol w:w="1280"/>
        <w:gridCol w:w="2835"/>
        <w:gridCol w:w="1496"/>
        <w:gridCol w:w="1496"/>
        <w:gridCol w:w="1496"/>
      </w:tblGrid>
      <w:tr w:rsidR="007E11BA" w:rsidRPr="001D2761" w14:paraId="5B80422E" w14:textId="77777777" w:rsidTr="00FE5518">
        <w:trPr>
          <w:trHeight w:val="300"/>
        </w:trPr>
        <w:tc>
          <w:tcPr>
            <w:tcW w:w="846" w:type="dxa"/>
            <w:shd w:val="clear" w:color="auto" w:fill="D9E2F3" w:themeFill="accent1" w:themeFillTint="33"/>
            <w:noWrap/>
            <w:hideMark/>
          </w:tcPr>
          <w:p w14:paraId="0036C5C1" w14:textId="77777777" w:rsidR="007E11BA" w:rsidRPr="00932601" w:rsidRDefault="007E11BA" w:rsidP="00F545BB">
            <w:pPr>
              <w:rPr>
                <w:rFonts w:eastAsia="Times New Roman" w:cs="Arial"/>
                <w:color w:val="000000"/>
              </w:rPr>
            </w:pPr>
            <w:r w:rsidRPr="00932601">
              <w:rPr>
                <w:rFonts w:eastAsia="Times New Roman" w:cs="Arial"/>
                <w:color w:val="000000"/>
              </w:rPr>
              <w:t>Sklad</w:t>
            </w:r>
          </w:p>
        </w:tc>
        <w:tc>
          <w:tcPr>
            <w:tcW w:w="1280" w:type="dxa"/>
            <w:shd w:val="clear" w:color="auto" w:fill="D9E2F3" w:themeFill="accent1" w:themeFillTint="33"/>
            <w:noWrap/>
            <w:hideMark/>
          </w:tcPr>
          <w:p w14:paraId="504D1E9B" w14:textId="77777777" w:rsidR="007E11BA" w:rsidRPr="00932601" w:rsidRDefault="007E11BA" w:rsidP="00F545BB">
            <w:pPr>
              <w:rPr>
                <w:rFonts w:eastAsia="Times New Roman" w:cs="Arial"/>
                <w:color w:val="000000"/>
              </w:rPr>
            </w:pPr>
            <w:r w:rsidRPr="00932601">
              <w:rPr>
                <w:rFonts w:eastAsia="Times New Roman" w:cs="Arial"/>
                <w:color w:val="000000"/>
              </w:rPr>
              <w:t>Kategorija regije</w:t>
            </w:r>
          </w:p>
        </w:tc>
        <w:tc>
          <w:tcPr>
            <w:tcW w:w="2835" w:type="dxa"/>
            <w:shd w:val="clear" w:color="auto" w:fill="D9E2F3" w:themeFill="accent1" w:themeFillTint="33"/>
            <w:noWrap/>
            <w:hideMark/>
          </w:tcPr>
          <w:p w14:paraId="399C0191" w14:textId="77777777" w:rsidR="007E11BA" w:rsidRPr="00932601" w:rsidRDefault="007E11BA" w:rsidP="00F545BB">
            <w:pPr>
              <w:rPr>
                <w:rFonts w:eastAsia="Times New Roman" w:cs="Arial"/>
                <w:color w:val="000000"/>
              </w:rPr>
            </w:pPr>
            <w:r w:rsidRPr="00932601">
              <w:rPr>
                <w:rFonts w:eastAsia="Times New Roman" w:cs="Arial"/>
                <w:color w:val="000000"/>
              </w:rPr>
              <w:t>Oznaka</w:t>
            </w:r>
          </w:p>
        </w:tc>
        <w:tc>
          <w:tcPr>
            <w:tcW w:w="1420" w:type="dxa"/>
            <w:shd w:val="clear" w:color="auto" w:fill="D9E2F3" w:themeFill="accent1" w:themeFillTint="33"/>
            <w:noWrap/>
            <w:hideMark/>
          </w:tcPr>
          <w:p w14:paraId="30F4F710" w14:textId="77777777" w:rsidR="007E11BA" w:rsidRPr="00932601" w:rsidRDefault="007E11BA" w:rsidP="00F545BB">
            <w:pPr>
              <w:rPr>
                <w:rFonts w:eastAsia="Times New Roman" w:cs="Arial"/>
                <w:color w:val="000000"/>
              </w:rPr>
            </w:pPr>
            <w:r w:rsidRPr="00932601">
              <w:rPr>
                <w:rFonts w:eastAsia="Times New Roman" w:cs="Arial"/>
                <w:color w:val="000000"/>
              </w:rPr>
              <w:t>Znesek</w:t>
            </w:r>
          </w:p>
        </w:tc>
        <w:tc>
          <w:tcPr>
            <w:tcW w:w="1420" w:type="dxa"/>
            <w:shd w:val="clear" w:color="auto" w:fill="D9E2F3" w:themeFill="accent1" w:themeFillTint="33"/>
            <w:noWrap/>
            <w:hideMark/>
          </w:tcPr>
          <w:p w14:paraId="40B6DD0E" w14:textId="77777777" w:rsidR="007E11BA" w:rsidRPr="00932601" w:rsidRDefault="007E11BA" w:rsidP="00F545BB">
            <w:pPr>
              <w:rPr>
                <w:rFonts w:eastAsia="Times New Roman" w:cs="Arial"/>
                <w:color w:val="000000"/>
              </w:rPr>
            </w:pPr>
            <w:r w:rsidRPr="00932601">
              <w:rPr>
                <w:rFonts w:eastAsia="Times New Roman" w:cs="Arial"/>
                <w:color w:val="000000"/>
              </w:rPr>
              <w:t>Predlagana sprememba</w:t>
            </w:r>
          </w:p>
        </w:tc>
        <w:tc>
          <w:tcPr>
            <w:tcW w:w="1460" w:type="dxa"/>
            <w:shd w:val="clear" w:color="auto" w:fill="D9E2F3" w:themeFill="accent1" w:themeFillTint="33"/>
            <w:noWrap/>
            <w:hideMark/>
          </w:tcPr>
          <w:p w14:paraId="424B3D6C" w14:textId="77777777" w:rsidR="007E11BA" w:rsidRPr="00932601" w:rsidRDefault="007E11BA" w:rsidP="00F545BB">
            <w:pPr>
              <w:rPr>
                <w:rFonts w:eastAsia="Times New Roman" w:cs="Arial"/>
                <w:color w:val="000000"/>
              </w:rPr>
            </w:pPr>
            <w:r w:rsidRPr="00932601">
              <w:rPr>
                <w:rFonts w:eastAsia="Times New Roman" w:cs="Arial"/>
                <w:color w:val="000000"/>
              </w:rPr>
              <w:t> </w:t>
            </w:r>
            <w:r>
              <w:rPr>
                <w:rFonts w:eastAsia="Times New Roman" w:cs="Arial"/>
                <w:color w:val="000000"/>
              </w:rPr>
              <w:t>Spremenjen znesek</w:t>
            </w:r>
          </w:p>
        </w:tc>
      </w:tr>
      <w:tr w:rsidR="007E11BA" w:rsidRPr="001D2761" w14:paraId="0992606F" w14:textId="77777777" w:rsidTr="00FE5518">
        <w:trPr>
          <w:trHeight w:val="300"/>
        </w:trPr>
        <w:tc>
          <w:tcPr>
            <w:tcW w:w="846" w:type="dxa"/>
            <w:noWrap/>
          </w:tcPr>
          <w:p w14:paraId="6277D8C4" w14:textId="77777777" w:rsidR="007E11BA" w:rsidRPr="00932601" w:rsidRDefault="007E11BA" w:rsidP="00F545BB">
            <w:pPr>
              <w:rPr>
                <w:rFonts w:eastAsia="Times New Roman" w:cs="Arial"/>
                <w:color w:val="000000"/>
              </w:rPr>
            </w:pPr>
            <w:r>
              <w:rPr>
                <w:rFonts w:eastAsia="Times New Roman" w:cs="Arial"/>
                <w:color w:val="000000"/>
              </w:rPr>
              <w:t>ESRR</w:t>
            </w:r>
          </w:p>
        </w:tc>
        <w:tc>
          <w:tcPr>
            <w:tcW w:w="1280" w:type="dxa"/>
            <w:noWrap/>
          </w:tcPr>
          <w:p w14:paraId="2AC3D349" w14:textId="77777777" w:rsidR="007E11BA" w:rsidRPr="00932601" w:rsidRDefault="007E11BA" w:rsidP="00E46C20">
            <w:pPr>
              <w:jc w:val="both"/>
              <w:rPr>
                <w:rFonts w:eastAsia="Times New Roman" w:cs="Arial"/>
                <w:color w:val="000000"/>
              </w:rPr>
            </w:pPr>
            <w:r>
              <w:rPr>
                <w:rFonts w:eastAsia="Times New Roman" w:cs="Arial"/>
                <w:color w:val="000000"/>
              </w:rPr>
              <w:t>Manj razvite regije</w:t>
            </w:r>
          </w:p>
        </w:tc>
        <w:tc>
          <w:tcPr>
            <w:tcW w:w="2835" w:type="dxa"/>
            <w:noWrap/>
          </w:tcPr>
          <w:p w14:paraId="358D6991" w14:textId="77777777" w:rsidR="007E11BA" w:rsidRPr="00932601" w:rsidRDefault="007E11BA" w:rsidP="00E46C20">
            <w:pPr>
              <w:jc w:val="both"/>
              <w:rPr>
                <w:rFonts w:eastAsia="Times New Roman" w:cs="Arial"/>
                <w:color w:val="000000"/>
              </w:rPr>
            </w:pPr>
            <w:r w:rsidRPr="00C71F21">
              <w:rPr>
                <w:rFonts w:eastAsia="Times New Roman" w:cs="Arial"/>
                <w:color w:val="000000"/>
              </w:rPr>
              <w:t>010. Raziskovalne in inovacijske dejavnosti v MSP, vključno z mreženjem</w:t>
            </w:r>
          </w:p>
        </w:tc>
        <w:tc>
          <w:tcPr>
            <w:tcW w:w="1420" w:type="dxa"/>
            <w:noWrap/>
          </w:tcPr>
          <w:p w14:paraId="0D17B58C" w14:textId="77777777" w:rsidR="007E11BA" w:rsidRPr="00932601" w:rsidRDefault="007E11BA" w:rsidP="00F545BB">
            <w:pPr>
              <w:rPr>
                <w:rFonts w:eastAsia="Times New Roman" w:cs="Arial"/>
                <w:color w:val="000000"/>
              </w:rPr>
            </w:pPr>
            <w:r w:rsidRPr="00C71F21">
              <w:rPr>
                <w:rFonts w:eastAsia="Times New Roman" w:cs="Arial"/>
                <w:color w:val="000000"/>
              </w:rPr>
              <w:t>88.980.000,00</w:t>
            </w:r>
          </w:p>
        </w:tc>
        <w:tc>
          <w:tcPr>
            <w:tcW w:w="1420" w:type="dxa"/>
            <w:noWrap/>
          </w:tcPr>
          <w:p w14:paraId="619C757A" w14:textId="77777777" w:rsidR="007E11BA" w:rsidRPr="00932601" w:rsidRDefault="007E11BA" w:rsidP="00F545BB">
            <w:pPr>
              <w:rPr>
                <w:rFonts w:eastAsia="Times New Roman" w:cs="Arial"/>
                <w:color w:val="000000"/>
              </w:rPr>
            </w:pPr>
            <w:r>
              <w:rPr>
                <w:rFonts w:eastAsia="Times New Roman" w:cs="Arial"/>
                <w:color w:val="000000"/>
              </w:rPr>
              <w:t>29.362.935,40</w:t>
            </w:r>
          </w:p>
        </w:tc>
        <w:tc>
          <w:tcPr>
            <w:tcW w:w="1460" w:type="dxa"/>
            <w:noWrap/>
          </w:tcPr>
          <w:p w14:paraId="4A53BD4F" w14:textId="77777777" w:rsidR="007E11BA" w:rsidRPr="00932601" w:rsidRDefault="007E11BA" w:rsidP="00F545BB">
            <w:pPr>
              <w:rPr>
                <w:rFonts w:eastAsia="Times New Roman" w:cs="Arial"/>
                <w:color w:val="000000"/>
              </w:rPr>
            </w:pPr>
            <w:r>
              <w:rPr>
                <w:rFonts w:eastAsia="Times New Roman" w:cs="Arial"/>
                <w:color w:val="000000"/>
              </w:rPr>
              <w:t>59.617.064,60</w:t>
            </w:r>
          </w:p>
        </w:tc>
      </w:tr>
      <w:tr w:rsidR="007E11BA" w:rsidRPr="001D2761" w14:paraId="253540A7" w14:textId="77777777" w:rsidTr="00FE5518">
        <w:trPr>
          <w:trHeight w:val="300"/>
        </w:trPr>
        <w:tc>
          <w:tcPr>
            <w:tcW w:w="846" w:type="dxa"/>
            <w:noWrap/>
          </w:tcPr>
          <w:p w14:paraId="4F8A48E8" w14:textId="77777777" w:rsidR="007E11BA" w:rsidRDefault="007E11BA" w:rsidP="00F545BB">
            <w:pPr>
              <w:rPr>
                <w:rFonts w:eastAsia="Times New Roman" w:cs="Arial"/>
                <w:color w:val="000000"/>
              </w:rPr>
            </w:pPr>
            <w:r w:rsidRPr="00932601">
              <w:rPr>
                <w:rFonts w:eastAsia="Times New Roman" w:cs="Arial"/>
                <w:color w:val="000000"/>
              </w:rPr>
              <w:t>ESRR</w:t>
            </w:r>
          </w:p>
        </w:tc>
        <w:tc>
          <w:tcPr>
            <w:tcW w:w="1280" w:type="dxa"/>
            <w:noWrap/>
          </w:tcPr>
          <w:p w14:paraId="071BCA2C" w14:textId="77777777" w:rsidR="007E11BA" w:rsidRDefault="007E11BA" w:rsidP="00E46C20">
            <w:pPr>
              <w:jc w:val="both"/>
              <w:rPr>
                <w:rFonts w:eastAsia="Times New Roman" w:cs="Arial"/>
                <w:color w:val="000000"/>
              </w:rPr>
            </w:pPr>
            <w:r w:rsidRPr="00932601">
              <w:rPr>
                <w:rFonts w:eastAsia="Times New Roman" w:cs="Arial"/>
                <w:color w:val="000000"/>
              </w:rPr>
              <w:t>Bolj razvite regije</w:t>
            </w:r>
          </w:p>
        </w:tc>
        <w:tc>
          <w:tcPr>
            <w:tcW w:w="2835" w:type="dxa"/>
            <w:noWrap/>
          </w:tcPr>
          <w:p w14:paraId="50279DF3" w14:textId="77777777" w:rsidR="007E11BA" w:rsidRPr="00C71F21" w:rsidRDefault="007E11BA" w:rsidP="00E46C20">
            <w:pPr>
              <w:jc w:val="both"/>
              <w:rPr>
                <w:rFonts w:eastAsia="Times New Roman" w:cs="Arial"/>
                <w:color w:val="000000"/>
              </w:rPr>
            </w:pPr>
            <w:r w:rsidRPr="00C71F21">
              <w:rPr>
                <w:rFonts w:eastAsia="Times New Roman" w:cs="Arial"/>
                <w:color w:val="000000"/>
              </w:rPr>
              <w:t>010. Raziskovalne in inovacijske dejavnosti v MSP, vključno z mreženjem</w:t>
            </w:r>
          </w:p>
        </w:tc>
        <w:tc>
          <w:tcPr>
            <w:tcW w:w="1420" w:type="dxa"/>
            <w:noWrap/>
          </w:tcPr>
          <w:p w14:paraId="1AE35450" w14:textId="77777777" w:rsidR="007E11BA" w:rsidRPr="00C71F21" w:rsidRDefault="007E11BA" w:rsidP="00F545BB">
            <w:pPr>
              <w:rPr>
                <w:rFonts w:eastAsia="Times New Roman" w:cs="Arial"/>
                <w:color w:val="000000"/>
              </w:rPr>
            </w:pPr>
            <w:r w:rsidRPr="00C71F21">
              <w:rPr>
                <w:rFonts w:eastAsia="Times New Roman" w:cs="Arial"/>
                <w:color w:val="000000"/>
              </w:rPr>
              <w:t>32.960.000,00</w:t>
            </w:r>
          </w:p>
        </w:tc>
        <w:tc>
          <w:tcPr>
            <w:tcW w:w="1420" w:type="dxa"/>
            <w:noWrap/>
          </w:tcPr>
          <w:p w14:paraId="1E263D28" w14:textId="77777777" w:rsidR="007E11BA" w:rsidRDefault="007E11BA" w:rsidP="00F545BB">
            <w:pPr>
              <w:rPr>
                <w:rFonts w:eastAsia="Times New Roman" w:cs="Arial"/>
                <w:color w:val="000000"/>
              </w:rPr>
            </w:pPr>
            <w:r>
              <w:rPr>
                <w:rFonts w:eastAsia="Times New Roman" w:cs="Arial"/>
                <w:color w:val="000000"/>
              </w:rPr>
              <w:t>8.716.479,93</w:t>
            </w:r>
          </w:p>
        </w:tc>
        <w:tc>
          <w:tcPr>
            <w:tcW w:w="1460" w:type="dxa"/>
            <w:noWrap/>
          </w:tcPr>
          <w:p w14:paraId="3C04F4EF" w14:textId="3AD10D31" w:rsidR="007E11BA" w:rsidRPr="001E325F" w:rsidRDefault="002B3B9B" w:rsidP="00F545BB">
            <w:pPr>
              <w:rPr>
                <w:rFonts w:eastAsia="Times New Roman" w:cs="Arial"/>
                <w:color w:val="000000"/>
              </w:rPr>
            </w:pPr>
            <w:r>
              <w:rPr>
                <w:rFonts w:eastAsia="Times New Roman" w:cs="Arial"/>
                <w:color w:val="000000"/>
              </w:rPr>
              <w:t>24.243.520,07</w:t>
            </w:r>
          </w:p>
        </w:tc>
      </w:tr>
      <w:tr w:rsidR="007E11BA" w:rsidRPr="001D2761" w14:paraId="1522C6BC" w14:textId="77777777" w:rsidTr="00FE5518">
        <w:trPr>
          <w:trHeight w:val="300"/>
        </w:trPr>
        <w:tc>
          <w:tcPr>
            <w:tcW w:w="846" w:type="dxa"/>
            <w:noWrap/>
          </w:tcPr>
          <w:p w14:paraId="06FE199E" w14:textId="77777777" w:rsidR="007E11BA" w:rsidRPr="00932601" w:rsidRDefault="007E11BA" w:rsidP="00F545BB">
            <w:pPr>
              <w:rPr>
                <w:rFonts w:eastAsia="Times New Roman" w:cs="Arial"/>
                <w:color w:val="000000"/>
              </w:rPr>
            </w:pPr>
            <w:r>
              <w:rPr>
                <w:rFonts w:eastAsia="Times New Roman" w:cs="Arial"/>
                <w:color w:val="000000"/>
              </w:rPr>
              <w:t>ESRR</w:t>
            </w:r>
          </w:p>
        </w:tc>
        <w:tc>
          <w:tcPr>
            <w:tcW w:w="1280" w:type="dxa"/>
            <w:noWrap/>
          </w:tcPr>
          <w:p w14:paraId="5D2978CC" w14:textId="77777777" w:rsidR="007E11BA" w:rsidRPr="00932601" w:rsidRDefault="007E11BA" w:rsidP="00E46C20">
            <w:pPr>
              <w:jc w:val="both"/>
              <w:rPr>
                <w:rFonts w:eastAsia="Times New Roman" w:cs="Arial"/>
                <w:color w:val="000000"/>
              </w:rPr>
            </w:pPr>
            <w:r w:rsidRPr="008F598F">
              <w:rPr>
                <w:rFonts w:eastAsia="Times New Roman" w:cs="Arial"/>
                <w:color w:val="000000"/>
              </w:rPr>
              <w:t>Manj razvite regije</w:t>
            </w:r>
          </w:p>
        </w:tc>
        <w:tc>
          <w:tcPr>
            <w:tcW w:w="2835" w:type="dxa"/>
            <w:noWrap/>
          </w:tcPr>
          <w:p w14:paraId="1B0BFF01" w14:textId="77777777" w:rsidR="007E11BA" w:rsidRPr="00C71F21" w:rsidRDefault="007E11BA" w:rsidP="00E46C20">
            <w:pPr>
              <w:jc w:val="both"/>
              <w:rPr>
                <w:rFonts w:eastAsia="Times New Roman" w:cs="Arial"/>
                <w:color w:val="000000"/>
              </w:rPr>
            </w:pPr>
            <w:r w:rsidRPr="008F598F">
              <w:rPr>
                <w:rFonts w:eastAsia="Times New Roman" w:cs="Arial"/>
                <w:color w:val="000000"/>
              </w:rPr>
              <w:t>011. Raziskovalne in inovacijske dejavnosti v velikih podjetjih, vključno z mreženjem</w:t>
            </w:r>
          </w:p>
        </w:tc>
        <w:tc>
          <w:tcPr>
            <w:tcW w:w="1420" w:type="dxa"/>
            <w:noWrap/>
          </w:tcPr>
          <w:p w14:paraId="36429B7C" w14:textId="77777777" w:rsidR="007E11BA" w:rsidRPr="00C71F21" w:rsidRDefault="007E11BA" w:rsidP="00F545BB">
            <w:pPr>
              <w:rPr>
                <w:rFonts w:eastAsia="Times New Roman" w:cs="Arial"/>
                <w:color w:val="000000"/>
              </w:rPr>
            </w:pPr>
            <w:r w:rsidRPr="008F598F">
              <w:rPr>
                <w:rFonts w:eastAsia="Times New Roman" w:cs="Arial"/>
                <w:color w:val="000000"/>
              </w:rPr>
              <w:t>18.389.000,00</w:t>
            </w:r>
          </w:p>
        </w:tc>
        <w:tc>
          <w:tcPr>
            <w:tcW w:w="1420" w:type="dxa"/>
            <w:noWrap/>
          </w:tcPr>
          <w:p w14:paraId="3453C0E2" w14:textId="77777777" w:rsidR="007E11BA" w:rsidRDefault="007E11BA" w:rsidP="00F545BB">
            <w:pPr>
              <w:rPr>
                <w:rFonts w:eastAsia="Times New Roman" w:cs="Arial"/>
                <w:color w:val="000000"/>
              </w:rPr>
            </w:pPr>
            <w:r>
              <w:rPr>
                <w:rFonts w:eastAsia="Times New Roman" w:cs="Arial"/>
                <w:color w:val="000000"/>
              </w:rPr>
              <w:t>12.931.510,60</w:t>
            </w:r>
          </w:p>
        </w:tc>
        <w:tc>
          <w:tcPr>
            <w:tcW w:w="1460" w:type="dxa"/>
            <w:noWrap/>
          </w:tcPr>
          <w:p w14:paraId="0C1B79F8" w14:textId="77777777" w:rsidR="007E11BA" w:rsidRPr="00C71F21" w:rsidRDefault="007E11BA" w:rsidP="00F545BB">
            <w:pPr>
              <w:rPr>
                <w:rFonts w:eastAsia="Times New Roman" w:cs="Arial"/>
                <w:color w:val="000000"/>
              </w:rPr>
            </w:pPr>
            <w:r>
              <w:rPr>
                <w:rFonts w:eastAsia="Times New Roman" w:cs="Arial"/>
                <w:color w:val="000000"/>
              </w:rPr>
              <w:t>5.457.489,40</w:t>
            </w:r>
          </w:p>
        </w:tc>
      </w:tr>
      <w:tr w:rsidR="007E11BA" w:rsidRPr="001D2761" w14:paraId="32BA9EE7" w14:textId="77777777" w:rsidTr="00FE5518">
        <w:trPr>
          <w:trHeight w:val="300"/>
        </w:trPr>
        <w:tc>
          <w:tcPr>
            <w:tcW w:w="846" w:type="dxa"/>
            <w:noWrap/>
          </w:tcPr>
          <w:p w14:paraId="722ED124" w14:textId="77777777" w:rsidR="007E11BA" w:rsidRDefault="007E11BA" w:rsidP="00F545BB">
            <w:pPr>
              <w:rPr>
                <w:rFonts w:eastAsia="Times New Roman" w:cs="Arial"/>
                <w:color w:val="000000"/>
              </w:rPr>
            </w:pPr>
            <w:r>
              <w:rPr>
                <w:rFonts w:eastAsia="Times New Roman" w:cs="Arial"/>
                <w:color w:val="000000"/>
              </w:rPr>
              <w:t>ESRR</w:t>
            </w:r>
          </w:p>
        </w:tc>
        <w:tc>
          <w:tcPr>
            <w:tcW w:w="1280" w:type="dxa"/>
            <w:noWrap/>
          </w:tcPr>
          <w:p w14:paraId="091A50C9" w14:textId="77777777" w:rsidR="007E11BA" w:rsidRDefault="007E11BA" w:rsidP="00E46C20">
            <w:pPr>
              <w:jc w:val="both"/>
              <w:rPr>
                <w:rFonts w:eastAsia="Times New Roman" w:cs="Arial"/>
                <w:color w:val="000000"/>
              </w:rPr>
            </w:pPr>
            <w:r w:rsidRPr="008F598F">
              <w:rPr>
                <w:rFonts w:eastAsia="Times New Roman" w:cs="Arial"/>
                <w:color w:val="000000"/>
              </w:rPr>
              <w:t>Bolj razvite regije</w:t>
            </w:r>
          </w:p>
        </w:tc>
        <w:tc>
          <w:tcPr>
            <w:tcW w:w="2835" w:type="dxa"/>
            <w:noWrap/>
          </w:tcPr>
          <w:p w14:paraId="5199E87D" w14:textId="77777777" w:rsidR="007E11BA" w:rsidRPr="00C71F21" w:rsidRDefault="007E11BA" w:rsidP="00E46C20">
            <w:pPr>
              <w:jc w:val="both"/>
              <w:rPr>
                <w:rFonts w:eastAsia="Times New Roman" w:cs="Arial"/>
                <w:color w:val="000000"/>
              </w:rPr>
            </w:pPr>
            <w:r w:rsidRPr="008F598F">
              <w:rPr>
                <w:rFonts w:eastAsia="Times New Roman" w:cs="Arial"/>
                <w:color w:val="000000"/>
              </w:rPr>
              <w:t>011. Raziskovalne in inovacijske dejavnosti v velikih podjetjih, vključno z mreženjem</w:t>
            </w:r>
          </w:p>
        </w:tc>
        <w:tc>
          <w:tcPr>
            <w:tcW w:w="1420" w:type="dxa"/>
            <w:noWrap/>
          </w:tcPr>
          <w:p w14:paraId="1878E977" w14:textId="77777777" w:rsidR="007E11BA" w:rsidRPr="00C71F21" w:rsidRDefault="007E11BA" w:rsidP="00F545BB">
            <w:pPr>
              <w:rPr>
                <w:rFonts w:eastAsia="Times New Roman" w:cs="Arial"/>
                <w:color w:val="000000"/>
              </w:rPr>
            </w:pPr>
            <w:r w:rsidRPr="008F598F">
              <w:rPr>
                <w:rFonts w:eastAsia="Times New Roman" w:cs="Arial"/>
                <w:color w:val="000000"/>
              </w:rPr>
              <w:t>8.909.000,00</w:t>
            </w:r>
          </w:p>
        </w:tc>
        <w:tc>
          <w:tcPr>
            <w:tcW w:w="1420" w:type="dxa"/>
            <w:noWrap/>
          </w:tcPr>
          <w:p w14:paraId="71A13CD7" w14:textId="77777777" w:rsidR="007E11BA" w:rsidRDefault="007E11BA" w:rsidP="00F545BB">
            <w:pPr>
              <w:rPr>
                <w:rFonts w:eastAsia="Times New Roman" w:cs="Arial"/>
                <w:color w:val="000000"/>
              </w:rPr>
            </w:pPr>
            <w:r>
              <w:rPr>
                <w:rFonts w:eastAsia="Times New Roman" w:cs="Arial"/>
                <w:color w:val="000000"/>
              </w:rPr>
              <w:t>7.709.705,07</w:t>
            </w:r>
          </w:p>
        </w:tc>
        <w:tc>
          <w:tcPr>
            <w:tcW w:w="1460" w:type="dxa"/>
            <w:noWrap/>
          </w:tcPr>
          <w:p w14:paraId="51A7F04D" w14:textId="77777777" w:rsidR="007E11BA" w:rsidRPr="001E325F" w:rsidRDefault="007E11BA" w:rsidP="00F545BB">
            <w:pPr>
              <w:rPr>
                <w:rFonts w:eastAsia="Times New Roman" w:cs="Arial"/>
                <w:color w:val="000000"/>
              </w:rPr>
            </w:pPr>
            <w:r>
              <w:rPr>
                <w:rFonts w:eastAsia="Times New Roman" w:cs="Arial"/>
                <w:color w:val="000000"/>
              </w:rPr>
              <w:t>1.199.294,93</w:t>
            </w:r>
          </w:p>
        </w:tc>
      </w:tr>
      <w:tr w:rsidR="007E11BA" w:rsidRPr="001D2761" w14:paraId="5FA242A3" w14:textId="77777777" w:rsidTr="00FE5518">
        <w:trPr>
          <w:trHeight w:val="300"/>
        </w:trPr>
        <w:tc>
          <w:tcPr>
            <w:tcW w:w="846" w:type="dxa"/>
            <w:noWrap/>
          </w:tcPr>
          <w:p w14:paraId="3C6ED118" w14:textId="77777777" w:rsidR="007E11BA" w:rsidRDefault="007E11BA" w:rsidP="00F545BB">
            <w:pPr>
              <w:rPr>
                <w:rFonts w:eastAsia="Times New Roman" w:cs="Arial"/>
                <w:color w:val="000000"/>
              </w:rPr>
            </w:pPr>
            <w:r>
              <w:rPr>
                <w:rFonts w:eastAsia="Times New Roman" w:cs="Arial"/>
                <w:color w:val="000000"/>
              </w:rPr>
              <w:t>ESRR</w:t>
            </w:r>
          </w:p>
        </w:tc>
        <w:tc>
          <w:tcPr>
            <w:tcW w:w="1280" w:type="dxa"/>
            <w:noWrap/>
          </w:tcPr>
          <w:p w14:paraId="02586302" w14:textId="77777777" w:rsidR="007E11BA" w:rsidRDefault="007E11BA" w:rsidP="00E46C20">
            <w:pPr>
              <w:jc w:val="both"/>
              <w:rPr>
                <w:rFonts w:eastAsia="Times New Roman" w:cs="Arial"/>
                <w:color w:val="000000"/>
              </w:rPr>
            </w:pPr>
            <w:r w:rsidRPr="008E46E0">
              <w:rPr>
                <w:rFonts w:eastAsia="Times New Roman" w:cs="Arial"/>
                <w:color w:val="000000"/>
              </w:rPr>
              <w:t>Manj razvite regije</w:t>
            </w:r>
          </w:p>
        </w:tc>
        <w:tc>
          <w:tcPr>
            <w:tcW w:w="2835" w:type="dxa"/>
            <w:noWrap/>
          </w:tcPr>
          <w:p w14:paraId="13DAFCAD" w14:textId="77777777" w:rsidR="007E11BA" w:rsidRPr="008E46E0" w:rsidRDefault="007E11BA" w:rsidP="00E46C20">
            <w:pPr>
              <w:jc w:val="both"/>
              <w:rPr>
                <w:rFonts w:eastAsia="Times New Roman" w:cs="Arial"/>
                <w:color w:val="000000"/>
              </w:rPr>
            </w:pPr>
            <w:r w:rsidRPr="008E46E0">
              <w:rPr>
                <w:rFonts w:eastAsia="Times New Roman" w:cs="Arial"/>
                <w:color w:val="000000"/>
              </w:rPr>
              <w:t xml:space="preserve">029. Raziskovalni in inovacijski procesi, prenos tehnologije ter sodelovanje med podjetji, raziskovalnimi središči in </w:t>
            </w:r>
          </w:p>
          <w:p w14:paraId="531C2E20" w14:textId="77777777" w:rsidR="007E11BA" w:rsidRPr="00C71F21" w:rsidRDefault="007E11BA" w:rsidP="00E46C20">
            <w:pPr>
              <w:jc w:val="both"/>
              <w:rPr>
                <w:rFonts w:eastAsia="Times New Roman" w:cs="Arial"/>
                <w:color w:val="000000"/>
              </w:rPr>
            </w:pPr>
            <w:r w:rsidRPr="008E46E0">
              <w:rPr>
                <w:rFonts w:eastAsia="Times New Roman" w:cs="Arial"/>
                <w:color w:val="000000"/>
              </w:rPr>
              <w:t xml:space="preserve">univerzami s poudarkom na </w:t>
            </w:r>
            <w:proofErr w:type="spellStart"/>
            <w:r w:rsidRPr="008E46E0">
              <w:rPr>
                <w:rFonts w:eastAsia="Times New Roman" w:cs="Arial"/>
                <w:color w:val="000000"/>
              </w:rPr>
              <w:t>nizkoogljičnem</w:t>
            </w:r>
            <w:proofErr w:type="spellEnd"/>
            <w:r w:rsidRPr="008E46E0">
              <w:rPr>
                <w:rFonts w:eastAsia="Times New Roman" w:cs="Arial"/>
                <w:color w:val="000000"/>
              </w:rPr>
              <w:t xml:space="preserve"> gospodarstvu, odpornosti in prilagajanju podnebnim spremembam</w:t>
            </w:r>
          </w:p>
        </w:tc>
        <w:tc>
          <w:tcPr>
            <w:tcW w:w="1420" w:type="dxa"/>
            <w:noWrap/>
          </w:tcPr>
          <w:p w14:paraId="7B2251B8" w14:textId="77777777" w:rsidR="007E11BA" w:rsidRPr="00C71F21" w:rsidRDefault="007E11BA" w:rsidP="00F545BB">
            <w:pPr>
              <w:rPr>
                <w:rFonts w:eastAsia="Times New Roman" w:cs="Arial"/>
                <w:color w:val="000000"/>
              </w:rPr>
            </w:pPr>
            <w:r w:rsidRPr="008E46E0">
              <w:rPr>
                <w:rFonts w:eastAsia="Times New Roman" w:cs="Arial"/>
                <w:color w:val="000000"/>
              </w:rPr>
              <w:t>15.599.503,00</w:t>
            </w:r>
          </w:p>
        </w:tc>
        <w:tc>
          <w:tcPr>
            <w:tcW w:w="1420" w:type="dxa"/>
            <w:noWrap/>
          </w:tcPr>
          <w:p w14:paraId="6EA606B6" w14:textId="77777777" w:rsidR="007E11BA" w:rsidRDefault="007E11BA" w:rsidP="00F545BB">
            <w:pPr>
              <w:rPr>
                <w:rFonts w:eastAsia="Times New Roman" w:cs="Arial"/>
                <w:color w:val="000000"/>
              </w:rPr>
            </w:pPr>
            <w:r w:rsidRPr="00C7230D">
              <w:rPr>
                <w:rFonts w:eastAsia="Times New Roman" w:cs="Arial"/>
                <w:color w:val="000000"/>
              </w:rPr>
              <w:t>1</w:t>
            </w:r>
            <w:r>
              <w:rPr>
                <w:rFonts w:eastAsia="Times New Roman" w:cs="Arial"/>
                <w:color w:val="000000"/>
              </w:rPr>
              <w:t>.</w:t>
            </w:r>
            <w:r w:rsidRPr="00C7230D">
              <w:rPr>
                <w:rFonts w:eastAsia="Times New Roman" w:cs="Arial"/>
                <w:color w:val="000000"/>
              </w:rPr>
              <w:t>980</w:t>
            </w:r>
            <w:r>
              <w:rPr>
                <w:rFonts w:eastAsia="Times New Roman" w:cs="Arial"/>
                <w:color w:val="000000"/>
              </w:rPr>
              <w:t>.</w:t>
            </w:r>
            <w:r w:rsidRPr="00C7230D">
              <w:rPr>
                <w:rFonts w:eastAsia="Times New Roman" w:cs="Arial"/>
                <w:color w:val="000000"/>
              </w:rPr>
              <w:t>000</w:t>
            </w:r>
            <w:r>
              <w:rPr>
                <w:rFonts w:eastAsia="Times New Roman" w:cs="Arial"/>
                <w:color w:val="000000"/>
              </w:rPr>
              <w:t>,00</w:t>
            </w:r>
          </w:p>
        </w:tc>
        <w:tc>
          <w:tcPr>
            <w:tcW w:w="1460" w:type="dxa"/>
            <w:noWrap/>
          </w:tcPr>
          <w:p w14:paraId="725C7285" w14:textId="77777777" w:rsidR="007E11BA" w:rsidRPr="001E325F" w:rsidRDefault="007E11BA" w:rsidP="00F545BB">
            <w:pPr>
              <w:rPr>
                <w:rFonts w:eastAsia="Times New Roman" w:cs="Arial"/>
                <w:color w:val="000000"/>
              </w:rPr>
            </w:pPr>
            <w:r>
              <w:rPr>
                <w:rFonts w:eastAsia="Times New Roman" w:cs="Arial"/>
                <w:color w:val="000000"/>
              </w:rPr>
              <w:t>13,619.503,00</w:t>
            </w:r>
          </w:p>
        </w:tc>
      </w:tr>
      <w:tr w:rsidR="007E11BA" w:rsidRPr="001D2761" w14:paraId="00F7BDD8" w14:textId="77777777" w:rsidTr="00FE5518">
        <w:trPr>
          <w:trHeight w:val="300"/>
        </w:trPr>
        <w:tc>
          <w:tcPr>
            <w:tcW w:w="846" w:type="dxa"/>
            <w:noWrap/>
          </w:tcPr>
          <w:p w14:paraId="6EE35DD3" w14:textId="77777777" w:rsidR="007E11BA" w:rsidRDefault="007E11BA" w:rsidP="00F545BB">
            <w:pPr>
              <w:rPr>
                <w:rFonts w:eastAsia="Times New Roman" w:cs="Arial"/>
                <w:color w:val="000000"/>
              </w:rPr>
            </w:pPr>
            <w:r>
              <w:rPr>
                <w:rFonts w:eastAsia="Times New Roman" w:cs="Arial"/>
                <w:color w:val="000000"/>
              </w:rPr>
              <w:t>ESRR</w:t>
            </w:r>
          </w:p>
        </w:tc>
        <w:tc>
          <w:tcPr>
            <w:tcW w:w="1280" w:type="dxa"/>
            <w:noWrap/>
          </w:tcPr>
          <w:p w14:paraId="23935619" w14:textId="77777777" w:rsidR="007E11BA" w:rsidRDefault="007E11BA" w:rsidP="00E46C20">
            <w:pPr>
              <w:jc w:val="both"/>
              <w:rPr>
                <w:rFonts w:eastAsia="Times New Roman" w:cs="Arial"/>
                <w:color w:val="000000"/>
              </w:rPr>
            </w:pPr>
            <w:r w:rsidRPr="008E46E0">
              <w:rPr>
                <w:rFonts w:eastAsia="Times New Roman" w:cs="Arial"/>
                <w:color w:val="000000"/>
              </w:rPr>
              <w:t>Bolj razvite regije</w:t>
            </w:r>
          </w:p>
        </w:tc>
        <w:tc>
          <w:tcPr>
            <w:tcW w:w="2835" w:type="dxa"/>
            <w:noWrap/>
          </w:tcPr>
          <w:p w14:paraId="665ACD07" w14:textId="77777777" w:rsidR="007E11BA" w:rsidRPr="008E46E0" w:rsidRDefault="007E11BA" w:rsidP="00E46C20">
            <w:pPr>
              <w:jc w:val="both"/>
              <w:rPr>
                <w:rFonts w:eastAsia="Times New Roman" w:cs="Arial"/>
                <w:color w:val="000000"/>
              </w:rPr>
            </w:pPr>
            <w:r w:rsidRPr="008E46E0">
              <w:rPr>
                <w:rFonts w:eastAsia="Times New Roman" w:cs="Arial"/>
                <w:color w:val="000000"/>
              </w:rPr>
              <w:t xml:space="preserve">029. Raziskovalni in inovacijski procesi, prenos tehnologije ter sodelovanje med podjetji, raziskovalnimi središči in </w:t>
            </w:r>
          </w:p>
          <w:p w14:paraId="44787E7A" w14:textId="77777777" w:rsidR="007E11BA" w:rsidRPr="00C71F21" w:rsidRDefault="007E11BA" w:rsidP="00E46C20">
            <w:pPr>
              <w:jc w:val="both"/>
              <w:rPr>
                <w:rFonts w:eastAsia="Times New Roman" w:cs="Arial"/>
                <w:color w:val="000000"/>
              </w:rPr>
            </w:pPr>
            <w:r w:rsidRPr="008E46E0">
              <w:rPr>
                <w:rFonts w:eastAsia="Times New Roman" w:cs="Arial"/>
                <w:color w:val="000000"/>
              </w:rPr>
              <w:t xml:space="preserve">univerzami s poudarkom na </w:t>
            </w:r>
            <w:proofErr w:type="spellStart"/>
            <w:r w:rsidRPr="008E46E0">
              <w:rPr>
                <w:rFonts w:eastAsia="Times New Roman" w:cs="Arial"/>
                <w:color w:val="000000"/>
              </w:rPr>
              <w:t>nizkoogljičnem</w:t>
            </w:r>
            <w:proofErr w:type="spellEnd"/>
            <w:r w:rsidRPr="008E46E0">
              <w:rPr>
                <w:rFonts w:eastAsia="Times New Roman" w:cs="Arial"/>
                <w:color w:val="000000"/>
              </w:rPr>
              <w:t xml:space="preserve"> gospodarstvu, odpornosti in prilagajanju podnebnim spremembam</w:t>
            </w:r>
          </w:p>
        </w:tc>
        <w:tc>
          <w:tcPr>
            <w:tcW w:w="1420" w:type="dxa"/>
            <w:noWrap/>
          </w:tcPr>
          <w:p w14:paraId="5D98EE9A" w14:textId="77777777" w:rsidR="007E11BA" w:rsidRPr="00C71F21" w:rsidRDefault="007E11BA" w:rsidP="00F545BB">
            <w:pPr>
              <w:rPr>
                <w:rFonts w:eastAsia="Times New Roman" w:cs="Arial"/>
                <w:color w:val="000000"/>
              </w:rPr>
            </w:pPr>
            <w:r w:rsidRPr="008E46E0">
              <w:rPr>
                <w:rFonts w:eastAsia="Times New Roman" w:cs="Arial"/>
                <w:color w:val="000000"/>
              </w:rPr>
              <w:t>9.390.120,00</w:t>
            </w:r>
          </w:p>
        </w:tc>
        <w:tc>
          <w:tcPr>
            <w:tcW w:w="1420" w:type="dxa"/>
            <w:noWrap/>
          </w:tcPr>
          <w:p w14:paraId="4F067372" w14:textId="77777777" w:rsidR="007E11BA" w:rsidRDefault="007E11BA" w:rsidP="00F545BB">
            <w:pPr>
              <w:rPr>
                <w:rFonts w:eastAsia="Times New Roman" w:cs="Arial"/>
                <w:color w:val="000000"/>
              </w:rPr>
            </w:pPr>
            <w:r w:rsidRPr="00C7230D">
              <w:rPr>
                <w:rFonts w:eastAsia="Times New Roman" w:cs="Arial"/>
                <w:color w:val="000000"/>
              </w:rPr>
              <w:t>1</w:t>
            </w:r>
            <w:r>
              <w:rPr>
                <w:rFonts w:eastAsia="Times New Roman" w:cs="Arial"/>
                <w:color w:val="000000"/>
              </w:rPr>
              <w:t>.</w:t>
            </w:r>
            <w:r w:rsidRPr="00C7230D">
              <w:rPr>
                <w:rFonts w:eastAsia="Times New Roman" w:cs="Arial"/>
                <w:color w:val="000000"/>
              </w:rPr>
              <w:t>020</w:t>
            </w:r>
            <w:r>
              <w:rPr>
                <w:rFonts w:eastAsia="Times New Roman" w:cs="Arial"/>
                <w:color w:val="000000"/>
              </w:rPr>
              <w:t>.</w:t>
            </w:r>
            <w:r w:rsidRPr="00C7230D">
              <w:rPr>
                <w:rFonts w:eastAsia="Times New Roman" w:cs="Arial"/>
                <w:color w:val="000000"/>
              </w:rPr>
              <w:t>000</w:t>
            </w:r>
            <w:r>
              <w:rPr>
                <w:rFonts w:eastAsia="Times New Roman" w:cs="Arial"/>
                <w:color w:val="000000"/>
              </w:rPr>
              <w:t>,00</w:t>
            </w:r>
          </w:p>
        </w:tc>
        <w:tc>
          <w:tcPr>
            <w:tcW w:w="1460" w:type="dxa"/>
            <w:noWrap/>
          </w:tcPr>
          <w:p w14:paraId="4587ACAA" w14:textId="77777777" w:rsidR="007E11BA" w:rsidRPr="001E325F" w:rsidRDefault="007E11BA" w:rsidP="00F545BB">
            <w:pPr>
              <w:rPr>
                <w:rFonts w:eastAsia="Times New Roman" w:cs="Arial"/>
                <w:color w:val="000000"/>
              </w:rPr>
            </w:pPr>
            <w:r>
              <w:rPr>
                <w:rFonts w:eastAsia="Times New Roman" w:cs="Arial"/>
                <w:color w:val="000000"/>
              </w:rPr>
              <w:t>8.370.120,00</w:t>
            </w:r>
          </w:p>
        </w:tc>
      </w:tr>
    </w:tbl>
    <w:p w14:paraId="4F390F88" w14:textId="33083FCA" w:rsidR="00687EF3" w:rsidRDefault="00687EF3" w:rsidP="00B473FE">
      <w:pPr>
        <w:spacing w:after="0"/>
      </w:pPr>
    </w:p>
    <w:p w14:paraId="5E83E6CC" w14:textId="77777777" w:rsidR="00687EF3" w:rsidRDefault="00687EF3" w:rsidP="00B473FE">
      <w:pPr>
        <w:spacing w:after="0"/>
      </w:pPr>
      <w:r>
        <w:br w:type="page"/>
      </w:r>
    </w:p>
    <w:p w14:paraId="227878B3" w14:textId="1743B84C" w:rsidR="008E059A" w:rsidRPr="00814485" w:rsidRDefault="008E059A" w:rsidP="008E059A">
      <w:pPr>
        <w:pStyle w:val="Napis"/>
        <w:keepNext/>
        <w:spacing w:after="0"/>
        <w:rPr>
          <w:i w:val="0"/>
          <w:iCs w:val="0"/>
          <w:color w:val="auto"/>
          <w:sz w:val="20"/>
          <w:szCs w:val="20"/>
        </w:rPr>
      </w:pPr>
      <w:bookmarkStart w:id="18" w:name="_Toc191459948"/>
      <w:r w:rsidRPr="00814485">
        <w:rPr>
          <w:i w:val="0"/>
          <w:iCs w:val="0"/>
          <w:color w:val="auto"/>
          <w:sz w:val="20"/>
          <w:szCs w:val="20"/>
        </w:rPr>
        <w:lastRenderedPageBreak/>
        <w:t xml:space="preserve">Tabela </w:t>
      </w:r>
      <w:r w:rsidRPr="00814485">
        <w:rPr>
          <w:i w:val="0"/>
          <w:iCs w:val="0"/>
          <w:color w:val="auto"/>
          <w:sz w:val="20"/>
          <w:szCs w:val="20"/>
        </w:rPr>
        <w:fldChar w:fldCharType="begin"/>
      </w:r>
      <w:r w:rsidRPr="00814485">
        <w:rPr>
          <w:i w:val="0"/>
          <w:iCs w:val="0"/>
          <w:color w:val="auto"/>
          <w:sz w:val="20"/>
          <w:szCs w:val="20"/>
        </w:rPr>
        <w:instrText xml:space="preserve"> SEQ Tabela \* ARABIC </w:instrText>
      </w:r>
      <w:r w:rsidRPr="00814485">
        <w:rPr>
          <w:i w:val="0"/>
          <w:iCs w:val="0"/>
          <w:color w:val="auto"/>
          <w:sz w:val="20"/>
          <w:szCs w:val="20"/>
        </w:rPr>
        <w:fldChar w:fldCharType="separate"/>
      </w:r>
      <w:r w:rsidR="00784805">
        <w:rPr>
          <w:i w:val="0"/>
          <w:iCs w:val="0"/>
          <w:noProof/>
          <w:color w:val="auto"/>
          <w:sz w:val="20"/>
          <w:szCs w:val="20"/>
        </w:rPr>
        <w:t>4</w:t>
      </w:r>
      <w:r w:rsidRPr="00814485">
        <w:rPr>
          <w:i w:val="0"/>
          <w:iCs w:val="0"/>
          <w:color w:val="auto"/>
          <w:sz w:val="20"/>
          <w:szCs w:val="20"/>
        </w:rPr>
        <w:fldChar w:fldCharType="end"/>
      </w:r>
      <w:r w:rsidRPr="00814485">
        <w:rPr>
          <w:i w:val="0"/>
          <w:iCs w:val="0"/>
          <w:color w:val="auto"/>
          <w:sz w:val="20"/>
          <w:szCs w:val="20"/>
        </w:rPr>
        <w:t>: Predlagano znižanje kazalnikov učinka in kazalnikov rezultata</w:t>
      </w:r>
      <w:bookmarkEnd w:id="18"/>
    </w:p>
    <w:p w14:paraId="2DFED209" w14:textId="77777777" w:rsidR="008E059A" w:rsidRPr="008E059A" w:rsidRDefault="008E059A" w:rsidP="008E059A">
      <w:pPr>
        <w:spacing w:after="0"/>
      </w:pPr>
    </w:p>
    <w:tbl>
      <w:tblPr>
        <w:tblW w:w="9209" w:type="dxa"/>
        <w:jc w:val="center"/>
        <w:tblCellMar>
          <w:left w:w="70" w:type="dxa"/>
          <w:right w:w="70" w:type="dxa"/>
        </w:tblCellMar>
        <w:tblLook w:val="04A0" w:firstRow="1" w:lastRow="0" w:firstColumn="1" w:lastColumn="0" w:noHBand="0" w:noVBand="1"/>
      </w:tblPr>
      <w:tblGrid>
        <w:gridCol w:w="1860"/>
        <w:gridCol w:w="1287"/>
        <w:gridCol w:w="2377"/>
        <w:gridCol w:w="1275"/>
        <w:gridCol w:w="1075"/>
        <w:gridCol w:w="1335"/>
      </w:tblGrid>
      <w:tr w:rsidR="007E11BA" w:rsidRPr="001D2761" w14:paraId="3F4B80BF" w14:textId="77777777" w:rsidTr="009E5A3A">
        <w:trPr>
          <w:trHeight w:val="531"/>
          <w:jc w:val="center"/>
        </w:trPr>
        <w:tc>
          <w:tcPr>
            <w:tcW w:w="186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bookmarkEnd w:id="16"/>
          <w:p w14:paraId="3492C967" w14:textId="77777777" w:rsidR="007E11BA" w:rsidRPr="009E5A3A" w:rsidRDefault="007E11BA" w:rsidP="00F545BB">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Kategorija regije</w:t>
            </w:r>
          </w:p>
        </w:tc>
        <w:tc>
          <w:tcPr>
            <w:tcW w:w="1287"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7E4547A9" w14:textId="77777777" w:rsidR="007E11BA" w:rsidRPr="009E5A3A" w:rsidRDefault="007E11BA" w:rsidP="00F545BB">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Identifikator</w:t>
            </w:r>
          </w:p>
        </w:tc>
        <w:tc>
          <w:tcPr>
            <w:tcW w:w="2377"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42DB1707" w14:textId="77777777" w:rsidR="007E11BA" w:rsidRPr="009E5A3A" w:rsidRDefault="007E11BA" w:rsidP="00F545BB">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Kazalnik</w:t>
            </w:r>
          </w:p>
        </w:tc>
        <w:tc>
          <w:tcPr>
            <w:tcW w:w="1275"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6A0F5277" w14:textId="77777777" w:rsidR="007E11BA" w:rsidRPr="009E5A3A" w:rsidRDefault="007E11BA" w:rsidP="00F545BB">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Cilj (2029)</w:t>
            </w:r>
          </w:p>
        </w:tc>
        <w:tc>
          <w:tcPr>
            <w:tcW w:w="1075"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68DB80C9" w14:textId="77777777" w:rsidR="007E11BA" w:rsidRPr="009E5A3A" w:rsidRDefault="007E11BA" w:rsidP="00F545BB">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Merska enota</w:t>
            </w:r>
          </w:p>
        </w:tc>
        <w:tc>
          <w:tcPr>
            <w:tcW w:w="1335"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47E88BE4" w14:textId="77777777" w:rsidR="007E11BA" w:rsidRPr="009E5A3A" w:rsidRDefault="007E11BA" w:rsidP="00F545BB">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Predlagana sprememba Cilj (2029)</w:t>
            </w:r>
          </w:p>
        </w:tc>
      </w:tr>
      <w:tr w:rsidR="007E11BA" w:rsidRPr="001D2761" w14:paraId="21E3474E" w14:textId="77777777" w:rsidTr="00814485">
        <w:trPr>
          <w:trHeight w:val="682"/>
          <w:jc w:val="center"/>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6EDD6" w14:textId="77777777" w:rsidR="007E11BA" w:rsidRPr="00FF23F3"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Manj razvite regije</w:t>
            </w:r>
          </w:p>
        </w:tc>
        <w:tc>
          <w:tcPr>
            <w:tcW w:w="1287" w:type="dxa"/>
            <w:tcBorders>
              <w:top w:val="single" w:sz="4" w:space="0" w:color="auto"/>
              <w:left w:val="nil"/>
              <w:bottom w:val="single" w:sz="4" w:space="0" w:color="auto"/>
              <w:right w:val="single" w:sz="4" w:space="0" w:color="auto"/>
            </w:tcBorders>
            <w:shd w:val="clear" w:color="auto" w:fill="auto"/>
            <w:noWrap/>
            <w:vAlign w:val="bottom"/>
          </w:tcPr>
          <w:p w14:paraId="0F2F0B67" w14:textId="77777777" w:rsidR="007E11BA" w:rsidRPr="00FF23F3" w:rsidRDefault="007E11BA" w:rsidP="00F545BB">
            <w:pPr>
              <w:spacing w:after="0" w:line="240" w:lineRule="auto"/>
              <w:rPr>
                <w:rFonts w:eastAsia="Times New Roman" w:cs="Arial"/>
                <w:color w:val="000000"/>
                <w:kern w:val="0"/>
                <w:szCs w:val="20"/>
                <w:lang w:eastAsia="sl-SI"/>
                <w14:ligatures w14:val="none"/>
              </w:rPr>
            </w:pPr>
            <w:r w:rsidRPr="00FF23F3">
              <w:rPr>
                <w:rFonts w:eastAsia="Times New Roman" w:cs="Arial"/>
                <w:color w:val="000000"/>
                <w:kern w:val="0"/>
                <w:szCs w:val="20"/>
                <w:lang w:eastAsia="sl-SI"/>
                <w14:ligatures w14:val="none"/>
              </w:rPr>
              <w:t>RCO01</w:t>
            </w:r>
          </w:p>
        </w:tc>
        <w:tc>
          <w:tcPr>
            <w:tcW w:w="2377" w:type="dxa"/>
            <w:tcBorders>
              <w:top w:val="single" w:sz="4" w:space="0" w:color="auto"/>
              <w:left w:val="nil"/>
              <w:bottom w:val="single" w:sz="4" w:space="0" w:color="auto"/>
              <w:right w:val="single" w:sz="4" w:space="0" w:color="auto"/>
            </w:tcBorders>
            <w:shd w:val="clear" w:color="auto" w:fill="auto"/>
            <w:noWrap/>
            <w:vAlign w:val="bottom"/>
          </w:tcPr>
          <w:p w14:paraId="1AD52E09" w14:textId="77777777" w:rsidR="007E11BA" w:rsidRPr="00FF23F3" w:rsidRDefault="007E11BA" w:rsidP="00E46C20">
            <w:pPr>
              <w:spacing w:after="0" w:line="240" w:lineRule="auto"/>
              <w:jc w:val="both"/>
              <w:rPr>
                <w:rFonts w:eastAsia="Times New Roman" w:cs="Arial"/>
                <w:color w:val="000000"/>
                <w:kern w:val="0"/>
                <w:szCs w:val="20"/>
                <w:lang w:eastAsia="sl-SI"/>
                <w14:ligatures w14:val="none"/>
              </w:rPr>
            </w:pPr>
            <w:r w:rsidRPr="00687EF3">
              <w:rPr>
                <w:rFonts w:eastAsia="Times New Roman" w:cs="Arial"/>
                <w:color w:val="000000"/>
                <w:kern w:val="0"/>
                <w:szCs w:val="20"/>
                <w:lang w:eastAsia="sl-SI"/>
                <w14:ligatures w14:val="none"/>
              </w:rPr>
              <w:t xml:space="preserve">Podjetja, ki so prejela podporo (od tega: </w:t>
            </w:r>
            <w:proofErr w:type="spellStart"/>
            <w:r w:rsidRPr="00687EF3">
              <w:rPr>
                <w:rFonts w:eastAsia="Times New Roman" w:cs="Arial"/>
                <w:color w:val="000000"/>
                <w:kern w:val="0"/>
                <w:szCs w:val="20"/>
                <w:lang w:eastAsia="sl-SI"/>
                <w14:ligatures w14:val="none"/>
              </w:rPr>
              <w:t>mikro</w:t>
            </w:r>
            <w:proofErr w:type="spellEnd"/>
            <w:r w:rsidRPr="00687EF3">
              <w:rPr>
                <w:rFonts w:eastAsia="Times New Roman" w:cs="Arial"/>
                <w:color w:val="000000"/>
                <w:kern w:val="0"/>
                <w:szCs w:val="20"/>
                <w:lang w:eastAsia="sl-SI"/>
                <w14:ligatures w14:val="none"/>
              </w:rPr>
              <w:t>, mala, srednja, velika)</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7F53CAE9" w14:textId="77777777" w:rsidR="007E11BA" w:rsidRPr="00FF23F3"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331</w:t>
            </w:r>
          </w:p>
        </w:tc>
        <w:tc>
          <w:tcPr>
            <w:tcW w:w="1075" w:type="dxa"/>
            <w:tcBorders>
              <w:top w:val="single" w:sz="4" w:space="0" w:color="auto"/>
              <w:left w:val="nil"/>
              <w:bottom w:val="single" w:sz="4" w:space="0" w:color="auto"/>
              <w:right w:val="single" w:sz="4" w:space="0" w:color="auto"/>
            </w:tcBorders>
            <w:shd w:val="clear" w:color="auto" w:fill="auto"/>
            <w:noWrap/>
            <w:vAlign w:val="bottom"/>
          </w:tcPr>
          <w:p w14:paraId="4C9C3CF6" w14:textId="77777777" w:rsidR="007E11BA" w:rsidRPr="00FF23F3"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podjetja</w:t>
            </w:r>
          </w:p>
        </w:tc>
        <w:tc>
          <w:tcPr>
            <w:tcW w:w="1335" w:type="dxa"/>
            <w:tcBorders>
              <w:top w:val="single" w:sz="4" w:space="0" w:color="auto"/>
              <w:left w:val="nil"/>
              <w:bottom w:val="single" w:sz="4" w:space="0" w:color="auto"/>
              <w:right w:val="single" w:sz="4" w:space="0" w:color="auto"/>
            </w:tcBorders>
            <w:shd w:val="clear" w:color="auto" w:fill="auto"/>
            <w:noWrap/>
            <w:vAlign w:val="bottom"/>
          </w:tcPr>
          <w:p w14:paraId="20DB8E00" w14:textId="00F3E8C5" w:rsidR="007E11BA" w:rsidRPr="00FF23F3" w:rsidRDefault="00FB1F4B"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198</w:t>
            </w:r>
          </w:p>
        </w:tc>
      </w:tr>
      <w:tr w:rsidR="007E11BA" w:rsidRPr="001D2761" w14:paraId="7D0DFDBC" w14:textId="77777777" w:rsidTr="00814485">
        <w:trPr>
          <w:trHeight w:val="300"/>
          <w:jc w:val="center"/>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73342BF" w14:textId="77777777" w:rsidR="007E11BA" w:rsidRPr="00932601" w:rsidRDefault="007E11BA" w:rsidP="00F545BB">
            <w:pPr>
              <w:spacing w:after="0" w:line="240" w:lineRule="auto"/>
              <w:rPr>
                <w:rFonts w:eastAsia="Times New Roman" w:cs="Arial"/>
                <w:color w:val="000000"/>
                <w:kern w:val="0"/>
                <w:szCs w:val="20"/>
                <w:lang w:eastAsia="sl-SI"/>
                <w14:ligatures w14:val="none"/>
              </w:rPr>
            </w:pPr>
            <w:r w:rsidRPr="00932601">
              <w:rPr>
                <w:rFonts w:eastAsia="Times New Roman" w:cs="Arial"/>
                <w:color w:val="000000"/>
                <w:kern w:val="0"/>
                <w:szCs w:val="20"/>
                <w:lang w:eastAsia="sl-SI"/>
                <w14:ligatures w14:val="none"/>
              </w:rPr>
              <w:t>Bolj razvite regije</w:t>
            </w:r>
          </w:p>
        </w:tc>
        <w:tc>
          <w:tcPr>
            <w:tcW w:w="1287" w:type="dxa"/>
            <w:tcBorders>
              <w:top w:val="nil"/>
              <w:left w:val="nil"/>
              <w:bottom w:val="single" w:sz="4" w:space="0" w:color="auto"/>
              <w:right w:val="single" w:sz="4" w:space="0" w:color="auto"/>
            </w:tcBorders>
            <w:shd w:val="clear" w:color="auto" w:fill="auto"/>
            <w:noWrap/>
            <w:vAlign w:val="bottom"/>
            <w:hideMark/>
          </w:tcPr>
          <w:p w14:paraId="749450D5" w14:textId="77777777" w:rsidR="007E11BA" w:rsidRPr="00932601" w:rsidRDefault="007E11BA" w:rsidP="00F545BB">
            <w:pPr>
              <w:spacing w:after="0" w:line="240" w:lineRule="auto"/>
              <w:rPr>
                <w:rFonts w:eastAsia="Times New Roman" w:cs="Arial"/>
                <w:color w:val="000000"/>
                <w:kern w:val="0"/>
                <w:szCs w:val="20"/>
                <w:lang w:eastAsia="sl-SI"/>
                <w14:ligatures w14:val="none"/>
              </w:rPr>
            </w:pPr>
            <w:r w:rsidRPr="00932601">
              <w:rPr>
                <w:rFonts w:eastAsia="Times New Roman" w:cs="Arial"/>
                <w:color w:val="000000"/>
                <w:kern w:val="0"/>
                <w:szCs w:val="20"/>
                <w:lang w:eastAsia="sl-SI"/>
                <w14:ligatures w14:val="none"/>
              </w:rPr>
              <w:t>RCO</w:t>
            </w:r>
            <w:r>
              <w:rPr>
                <w:rFonts w:eastAsia="Times New Roman" w:cs="Arial"/>
                <w:color w:val="000000"/>
                <w:kern w:val="0"/>
                <w:szCs w:val="20"/>
                <w:lang w:eastAsia="sl-SI"/>
                <w14:ligatures w14:val="none"/>
              </w:rPr>
              <w:t>01</w:t>
            </w:r>
          </w:p>
        </w:tc>
        <w:tc>
          <w:tcPr>
            <w:tcW w:w="2377" w:type="dxa"/>
            <w:tcBorders>
              <w:top w:val="nil"/>
              <w:left w:val="nil"/>
              <w:bottom w:val="single" w:sz="4" w:space="0" w:color="auto"/>
              <w:right w:val="single" w:sz="4" w:space="0" w:color="auto"/>
            </w:tcBorders>
            <w:shd w:val="clear" w:color="auto" w:fill="auto"/>
            <w:noWrap/>
            <w:vAlign w:val="bottom"/>
            <w:hideMark/>
          </w:tcPr>
          <w:p w14:paraId="78EDE519" w14:textId="77777777" w:rsidR="007E11BA" w:rsidRPr="00932601" w:rsidRDefault="007E11BA" w:rsidP="00E46C20">
            <w:pPr>
              <w:spacing w:after="0" w:line="240" w:lineRule="auto"/>
              <w:jc w:val="both"/>
              <w:rPr>
                <w:rFonts w:eastAsia="Times New Roman" w:cs="Arial"/>
                <w:color w:val="000000"/>
                <w:kern w:val="0"/>
                <w:szCs w:val="20"/>
                <w:lang w:eastAsia="sl-SI"/>
                <w14:ligatures w14:val="none"/>
              </w:rPr>
            </w:pPr>
            <w:r w:rsidRPr="00687EF3">
              <w:rPr>
                <w:rFonts w:eastAsia="Times New Roman" w:cs="Arial"/>
                <w:color w:val="000000"/>
                <w:kern w:val="0"/>
                <w:szCs w:val="20"/>
                <w:lang w:eastAsia="sl-SI"/>
                <w14:ligatures w14:val="none"/>
              </w:rPr>
              <w:t xml:space="preserve">Podjetja, ki so prejela podporo (od tega: </w:t>
            </w:r>
            <w:proofErr w:type="spellStart"/>
            <w:r w:rsidRPr="00687EF3">
              <w:rPr>
                <w:rFonts w:eastAsia="Times New Roman" w:cs="Arial"/>
                <w:color w:val="000000"/>
                <w:kern w:val="0"/>
                <w:szCs w:val="20"/>
                <w:lang w:eastAsia="sl-SI"/>
                <w14:ligatures w14:val="none"/>
              </w:rPr>
              <w:t>mikro</w:t>
            </w:r>
            <w:proofErr w:type="spellEnd"/>
            <w:r w:rsidRPr="00687EF3">
              <w:rPr>
                <w:rFonts w:eastAsia="Times New Roman" w:cs="Arial"/>
                <w:color w:val="000000"/>
                <w:kern w:val="0"/>
                <w:szCs w:val="20"/>
                <w:lang w:eastAsia="sl-SI"/>
                <w14:ligatures w14:val="none"/>
              </w:rPr>
              <w:t>, mala, srednja, velika)</w:t>
            </w:r>
          </w:p>
        </w:tc>
        <w:tc>
          <w:tcPr>
            <w:tcW w:w="1275" w:type="dxa"/>
            <w:tcBorders>
              <w:top w:val="nil"/>
              <w:left w:val="nil"/>
              <w:bottom w:val="single" w:sz="4" w:space="0" w:color="auto"/>
              <w:right w:val="single" w:sz="4" w:space="0" w:color="auto"/>
            </w:tcBorders>
            <w:shd w:val="clear" w:color="auto" w:fill="auto"/>
            <w:noWrap/>
            <w:vAlign w:val="bottom"/>
            <w:hideMark/>
          </w:tcPr>
          <w:p w14:paraId="597AFBAC" w14:textId="77777777" w:rsidR="007E11BA" w:rsidRPr="00932601"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200</w:t>
            </w:r>
          </w:p>
        </w:tc>
        <w:tc>
          <w:tcPr>
            <w:tcW w:w="1075" w:type="dxa"/>
            <w:tcBorders>
              <w:top w:val="nil"/>
              <w:left w:val="nil"/>
              <w:bottom w:val="single" w:sz="4" w:space="0" w:color="auto"/>
              <w:right w:val="single" w:sz="4" w:space="0" w:color="auto"/>
            </w:tcBorders>
            <w:shd w:val="clear" w:color="auto" w:fill="auto"/>
            <w:noWrap/>
            <w:vAlign w:val="bottom"/>
            <w:hideMark/>
          </w:tcPr>
          <w:p w14:paraId="5E15DE9B" w14:textId="77777777" w:rsidR="007E11BA" w:rsidRPr="00932601"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podjetja</w:t>
            </w:r>
          </w:p>
        </w:tc>
        <w:tc>
          <w:tcPr>
            <w:tcW w:w="1335" w:type="dxa"/>
            <w:tcBorders>
              <w:top w:val="nil"/>
              <w:left w:val="nil"/>
              <w:bottom w:val="single" w:sz="4" w:space="0" w:color="auto"/>
              <w:right w:val="single" w:sz="4" w:space="0" w:color="auto"/>
            </w:tcBorders>
            <w:shd w:val="clear" w:color="auto" w:fill="auto"/>
            <w:noWrap/>
            <w:vAlign w:val="bottom"/>
            <w:hideMark/>
          </w:tcPr>
          <w:p w14:paraId="0809DA72" w14:textId="28358A7C" w:rsidR="007E11BA" w:rsidRPr="00932601" w:rsidRDefault="00FB1F4B"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134</w:t>
            </w:r>
          </w:p>
        </w:tc>
      </w:tr>
      <w:tr w:rsidR="007E11BA" w:rsidRPr="001D2761" w14:paraId="06D5E032" w14:textId="77777777" w:rsidTr="00814485">
        <w:trPr>
          <w:trHeight w:val="300"/>
          <w:jc w:val="center"/>
        </w:trPr>
        <w:tc>
          <w:tcPr>
            <w:tcW w:w="1860" w:type="dxa"/>
            <w:tcBorders>
              <w:top w:val="nil"/>
              <w:left w:val="single" w:sz="4" w:space="0" w:color="auto"/>
              <w:bottom w:val="single" w:sz="4" w:space="0" w:color="auto"/>
              <w:right w:val="single" w:sz="4" w:space="0" w:color="auto"/>
            </w:tcBorders>
            <w:shd w:val="clear" w:color="auto" w:fill="auto"/>
            <w:noWrap/>
            <w:vAlign w:val="bottom"/>
          </w:tcPr>
          <w:p w14:paraId="1CCC0997" w14:textId="77777777" w:rsidR="007E11BA" w:rsidRPr="00932601" w:rsidRDefault="007E11BA" w:rsidP="00F545BB">
            <w:pPr>
              <w:spacing w:after="0" w:line="240" w:lineRule="auto"/>
              <w:rPr>
                <w:rFonts w:eastAsia="Times New Roman" w:cs="Arial"/>
                <w:color w:val="000000"/>
                <w:kern w:val="0"/>
                <w:szCs w:val="20"/>
                <w:lang w:eastAsia="sl-SI"/>
                <w14:ligatures w14:val="none"/>
              </w:rPr>
            </w:pPr>
            <w:r w:rsidRPr="00687EF3">
              <w:rPr>
                <w:rFonts w:eastAsia="Times New Roman" w:cs="Arial"/>
                <w:color w:val="000000"/>
                <w:kern w:val="0"/>
                <w:szCs w:val="20"/>
                <w:lang w:eastAsia="sl-SI"/>
                <w14:ligatures w14:val="none"/>
              </w:rPr>
              <w:t>Manj razvite regije</w:t>
            </w:r>
          </w:p>
        </w:tc>
        <w:tc>
          <w:tcPr>
            <w:tcW w:w="1287" w:type="dxa"/>
            <w:tcBorders>
              <w:top w:val="nil"/>
              <w:left w:val="nil"/>
              <w:bottom w:val="single" w:sz="4" w:space="0" w:color="auto"/>
              <w:right w:val="single" w:sz="4" w:space="0" w:color="auto"/>
            </w:tcBorders>
            <w:shd w:val="clear" w:color="auto" w:fill="auto"/>
            <w:noWrap/>
            <w:vAlign w:val="bottom"/>
          </w:tcPr>
          <w:p w14:paraId="5A9895BC" w14:textId="77777777" w:rsidR="007E11BA" w:rsidRPr="00932601"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RCO02</w:t>
            </w:r>
          </w:p>
        </w:tc>
        <w:tc>
          <w:tcPr>
            <w:tcW w:w="2377" w:type="dxa"/>
            <w:tcBorders>
              <w:top w:val="nil"/>
              <w:left w:val="nil"/>
              <w:bottom w:val="single" w:sz="4" w:space="0" w:color="auto"/>
              <w:right w:val="single" w:sz="4" w:space="0" w:color="auto"/>
            </w:tcBorders>
            <w:shd w:val="clear" w:color="auto" w:fill="auto"/>
            <w:noWrap/>
            <w:vAlign w:val="bottom"/>
          </w:tcPr>
          <w:p w14:paraId="2AB529C3" w14:textId="77777777" w:rsidR="007E11BA" w:rsidRPr="00932601" w:rsidRDefault="007E11BA" w:rsidP="00E46C20">
            <w:pPr>
              <w:spacing w:after="0" w:line="240" w:lineRule="auto"/>
              <w:jc w:val="both"/>
              <w:rPr>
                <w:rFonts w:eastAsia="Times New Roman" w:cs="Arial"/>
                <w:color w:val="000000"/>
                <w:kern w:val="0"/>
                <w:szCs w:val="20"/>
                <w:lang w:eastAsia="sl-SI"/>
                <w14:ligatures w14:val="none"/>
              </w:rPr>
            </w:pPr>
            <w:r w:rsidRPr="00687EF3">
              <w:rPr>
                <w:rFonts w:eastAsia="Times New Roman" w:cs="Arial"/>
                <w:color w:val="000000"/>
                <w:kern w:val="0"/>
                <w:szCs w:val="20"/>
                <w:lang w:eastAsia="sl-SI"/>
                <w14:ligatures w14:val="none"/>
              </w:rPr>
              <w:t>Podjetja, ki so prejela podporo v obliki nepovratnih sredstev</w:t>
            </w:r>
          </w:p>
        </w:tc>
        <w:tc>
          <w:tcPr>
            <w:tcW w:w="1275" w:type="dxa"/>
            <w:tcBorders>
              <w:top w:val="nil"/>
              <w:left w:val="nil"/>
              <w:bottom w:val="single" w:sz="4" w:space="0" w:color="auto"/>
              <w:right w:val="single" w:sz="4" w:space="0" w:color="auto"/>
            </w:tcBorders>
            <w:shd w:val="clear" w:color="auto" w:fill="auto"/>
            <w:noWrap/>
            <w:vAlign w:val="bottom"/>
          </w:tcPr>
          <w:p w14:paraId="030FD6DD" w14:textId="77777777" w:rsidR="007E11BA" w:rsidRPr="00932601"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297</w:t>
            </w:r>
          </w:p>
        </w:tc>
        <w:tc>
          <w:tcPr>
            <w:tcW w:w="1075" w:type="dxa"/>
            <w:tcBorders>
              <w:top w:val="nil"/>
              <w:left w:val="nil"/>
              <w:bottom w:val="single" w:sz="4" w:space="0" w:color="auto"/>
              <w:right w:val="single" w:sz="4" w:space="0" w:color="auto"/>
            </w:tcBorders>
            <w:shd w:val="clear" w:color="auto" w:fill="auto"/>
            <w:noWrap/>
            <w:vAlign w:val="bottom"/>
          </w:tcPr>
          <w:p w14:paraId="11B29888" w14:textId="77777777" w:rsidR="007E11BA" w:rsidRPr="00932601"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podjetja</w:t>
            </w:r>
          </w:p>
        </w:tc>
        <w:tc>
          <w:tcPr>
            <w:tcW w:w="1335" w:type="dxa"/>
            <w:tcBorders>
              <w:top w:val="nil"/>
              <w:left w:val="nil"/>
              <w:bottom w:val="single" w:sz="4" w:space="0" w:color="auto"/>
              <w:right w:val="single" w:sz="4" w:space="0" w:color="auto"/>
            </w:tcBorders>
            <w:shd w:val="clear" w:color="auto" w:fill="auto"/>
            <w:noWrap/>
            <w:vAlign w:val="bottom"/>
          </w:tcPr>
          <w:p w14:paraId="0B924E63" w14:textId="290E8460" w:rsidR="007E11BA" w:rsidRPr="00932601" w:rsidRDefault="00FB1F4B"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132</w:t>
            </w:r>
          </w:p>
        </w:tc>
      </w:tr>
      <w:tr w:rsidR="007E11BA" w:rsidRPr="001D2761" w14:paraId="298C21E8" w14:textId="77777777" w:rsidTr="00814485">
        <w:trPr>
          <w:trHeight w:val="300"/>
          <w:jc w:val="center"/>
        </w:trPr>
        <w:tc>
          <w:tcPr>
            <w:tcW w:w="1860" w:type="dxa"/>
            <w:tcBorders>
              <w:top w:val="nil"/>
              <w:left w:val="single" w:sz="4" w:space="0" w:color="auto"/>
              <w:bottom w:val="single" w:sz="4" w:space="0" w:color="auto"/>
              <w:right w:val="single" w:sz="4" w:space="0" w:color="auto"/>
            </w:tcBorders>
            <w:shd w:val="clear" w:color="auto" w:fill="auto"/>
            <w:noWrap/>
            <w:vAlign w:val="bottom"/>
          </w:tcPr>
          <w:p w14:paraId="5606826E" w14:textId="77777777" w:rsidR="007E11BA" w:rsidRPr="00932601" w:rsidRDefault="007E11BA" w:rsidP="00F545BB">
            <w:pPr>
              <w:spacing w:after="0" w:line="240" w:lineRule="auto"/>
              <w:rPr>
                <w:rFonts w:eastAsia="Times New Roman" w:cs="Arial"/>
                <w:color w:val="000000"/>
                <w:kern w:val="0"/>
                <w:szCs w:val="20"/>
                <w:lang w:eastAsia="sl-SI"/>
                <w14:ligatures w14:val="none"/>
              </w:rPr>
            </w:pPr>
            <w:r w:rsidRPr="00687EF3">
              <w:rPr>
                <w:rFonts w:eastAsia="Times New Roman" w:cs="Arial"/>
                <w:color w:val="000000"/>
                <w:kern w:val="0"/>
                <w:szCs w:val="20"/>
                <w:lang w:eastAsia="sl-SI"/>
                <w14:ligatures w14:val="none"/>
              </w:rPr>
              <w:t>Bolj razvite regije</w:t>
            </w:r>
          </w:p>
        </w:tc>
        <w:tc>
          <w:tcPr>
            <w:tcW w:w="1287" w:type="dxa"/>
            <w:tcBorders>
              <w:top w:val="nil"/>
              <w:left w:val="nil"/>
              <w:bottom w:val="single" w:sz="4" w:space="0" w:color="auto"/>
              <w:right w:val="single" w:sz="4" w:space="0" w:color="auto"/>
            </w:tcBorders>
            <w:shd w:val="clear" w:color="auto" w:fill="auto"/>
            <w:noWrap/>
            <w:vAlign w:val="bottom"/>
          </w:tcPr>
          <w:p w14:paraId="52C68C81" w14:textId="77777777" w:rsidR="007E11BA" w:rsidRPr="00932601"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RCO02</w:t>
            </w:r>
          </w:p>
        </w:tc>
        <w:tc>
          <w:tcPr>
            <w:tcW w:w="2377" w:type="dxa"/>
            <w:tcBorders>
              <w:top w:val="nil"/>
              <w:left w:val="nil"/>
              <w:bottom w:val="single" w:sz="4" w:space="0" w:color="auto"/>
              <w:right w:val="single" w:sz="4" w:space="0" w:color="auto"/>
            </w:tcBorders>
            <w:shd w:val="clear" w:color="auto" w:fill="auto"/>
            <w:noWrap/>
            <w:vAlign w:val="bottom"/>
          </w:tcPr>
          <w:p w14:paraId="260902D6" w14:textId="77777777" w:rsidR="007E11BA" w:rsidRPr="00932601" w:rsidRDefault="007E11BA" w:rsidP="00E46C20">
            <w:pPr>
              <w:spacing w:after="0" w:line="240" w:lineRule="auto"/>
              <w:jc w:val="both"/>
              <w:rPr>
                <w:rFonts w:eastAsia="Times New Roman" w:cs="Arial"/>
                <w:color w:val="000000"/>
                <w:kern w:val="0"/>
                <w:szCs w:val="20"/>
                <w:lang w:eastAsia="sl-SI"/>
                <w14:ligatures w14:val="none"/>
              </w:rPr>
            </w:pPr>
            <w:r w:rsidRPr="00687EF3">
              <w:rPr>
                <w:rFonts w:eastAsia="Times New Roman" w:cs="Arial"/>
                <w:color w:val="000000"/>
                <w:kern w:val="0"/>
                <w:szCs w:val="20"/>
                <w:lang w:eastAsia="sl-SI"/>
                <w14:ligatures w14:val="none"/>
              </w:rPr>
              <w:t>Podjetja, ki so prejela podporo v obliki nepovratnih sredstev</w:t>
            </w:r>
          </w:p>
        </w:tc>
        <w:tc>
          <w:tcPr>
            <w:tcW w:w="1275" w:type="dxa"/>
            <w:tcBorders>
              <w:top w:val="nil"/>
              <w:left w:val="nil"/>
              <w:bottom w:val="single" w:sz="4" w:space="0" w:color="auto"/>
              <w:right w:val="single" w:sz="4" w:space="0" w:color="auto"/>
            </w:tcBorders>
            <w:shd w:val="clear" w:color="auto" w:fill="auto"/>
            <w:noWrap/>
            <w:vAlign w:val="bottom"/>
          </w:tcPr>
          <w:p w14:paraId="42BE9AA4" w14:textId="77777777" w:rsidR="007E11BA" w:rsidRPr="00932601"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186</w:t>
            </w:r>
          </w:p>
        </w:tc>
        <w:tc>
          <w:tcPr>
            <w:tcW w:w="1075" w:type="dxa"/>
            <w:tcBorders>
              <w:top w:val="nil"/>
              <w:left w:val="nil"/>
              <w:bottom w:val="single" w:sz="4" w:space="0" w:color="auto"/>
              <w:right w:val="single" w:sz="4" w:space="0" w:color="auto"/>
            </w:tcBorders>
            <w:shd w:val="clear" w:color="auto" w:fill="auto"/>
            <w:noWrap/>
            <w:vAlign w:val="bottom"/>
          </w:tcPr>
          <w:p w14:paraId="253F69AF" w14:textId="77777777" w:rsidR="007E11BA" w:rsidRPr="00932601"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podjetja</w:t>
            </w:r>
          </w:p>
        </w:tc>
        <w:tc>
          <w:tcPr>
            <w:tcW w:w="1335" w:type="dxa"/>
            <w:tcBorders>
              <w:top w:val="nil"/>
              <w:left w:val="nil"/>
              <w:bottom w:val="single" w:sz="4" w:space="0" w:color="auto"/>
              <w:right w:val="single" w:sz="4" w:space="0" w:color="auto"/>
            </w:tcBorders>
            <w:shd w:val="clear" w:color="auto" w:fill="auto"/>
            <w:noWrap/>
            <w:vAlign w:val="bottom"/>
          </w:tcPr>
          <w:p w14:paraId="0CC62BD4" w14:textId="2CF9273D" w:rsidR="007E11BA" w:rsidRPr="00932601" w:rsidRDefault="00FB1F4B"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80</w:t>
            </w:r>
          </w:p>
        </w:tc>
      </w:tr>
      <w:tr w:rsidR="007E11BA" w:rsidRPr="001D2761" w14:paraId="2C30EC98" w14:textId="77777777" w:rsidTr="00814485">
        <w:trPr>
          <w:trHeight w:val="300"/>
          <w:jc w:val="center"/>
        </w:trPr>
        <w:tc>
          <w:tcPr>
            <w:tcW w:w="1860" w:type="dxa"/>
            <w:tcBorders>
              <w:top w:val="nil"/>
              <w:left w:val="single" w:sz="4" w:space="0" w:color="auto"/>
              <w:bottom w:val="single" w:sz="4" w:space="0" w:color="auto"/>
              <w:right w:val="single" w:sz="4" w:space="0" w:color="auto"/>
            </w:tcBorders>
            <w:shd w:val="clear" w:color="auto" w:fill="auto"/>
            <w:noWrap/>
            <w:vAlign w:val="bottom"/>
          </w:tcPr>
          <w:p w14:paraId="7FFD9C77" w14:textId="77777777" w:rsidR="007E11BA" w:rsidRPr="00687EF3" w:rsidRDefault="007E11BA" w:rsidP="00F545BB">
            <w:pPr>
              <w:spacing w:after="0" w:line="240" w:lineRule="auto"/>
              <w:rPr>
                <w:rFonts w:eastAsia="Times New Roman" w:cs="Arial"/>
                <w:color w:val="000000"/>
                <w:kern w:val="0"/>
                <w:szCs w:val="20"/>
                <w:lang w:eastAsia="sl-SI"/>
                <w14:ligatures w14:val="none"/>
              </w:rPr>
            </w:pPr>
            <w:r w:rsidRPr="00101768">
              <w:rPr>
                <w:rFonts w:eastAsia="Times New Roman" w:cs="Arial"/>
                <w:color w:val="000000"/>
                <w:kern w:val="0"/>
                <w:szCs w:val="20"/>
                <w:lang w:eastAsia="sl-SI"/>
                <w14:ligatures w14:val="none"/>
              </w:rPr>
              <w:t>Manj razvite regije</w:t>
            </w:r>
          </w:p>
        </w:tc>
        <w:tc>
          <w:tcPr>
            <w:tcW w:w="1287" w:type="dxa"/>
            <w:tcBorders>
              <w:top w:val="nil"/>
              <w:left w:val="nil"/>
              <w:bottom w:val="single" w:sz="4" w:space="0" w:color="auto"/>
              <w:right w:val="single" w:sz="4" w:space="0" w:color="auto"/>
            </w:tcBorders>
            <w:shd w:val="clear" w:color="auto" w:fill="auto"/>
            <w:noWrap/>
            <w:vAlign w:val="bottom"/>
          </w:tcPr>
          <w:p w14:paraId="3F68839B" w14:textId="77777777" w:rsidR="007E11BA"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RCR03</w:t>
            </w:r>
          </w:p>
        </w:tc>
        <w:tc>
          <w:tcPr>
            <w:tcW w:w="2377" w:type="dxa"/>
            <w:tcBorders>
              <w:top w:val="nil"/>
              <w:left w:val="nil"/>
              <w:bottom w:val="single" w:sz="4" w:space="0" w:color="auto"/>
              <w:right w:val="single" w:sz="4" w:space="0" w:color="auto"/>
            </w:tcBorders>
            <w:shd w:val="clear" w:color="auto" w:fill="auto"/>
            <w:noWrap/>
            <w:vAlign w:val="bottom"/>
          </w:tcPr>
          <w:p w14:paraId="278DAD3F" w14:textId="77777777" w:rsidR="007E11BA" w:rsidRPr="00687EF3" w:rsidRDefault="007E11BA" w:rsidP="00E46C20">
            <w:pPr>
              <w:spacing w:after="0" w:line="240" w:lineRule="auto"/>
              <w:jc w:val="both"/>
              <w:rPr>
                <w:rFonts w:eastAsia="Times New Roman" w:cs="Arial"/>
                <w:color w:val="000000"/>
                <w:kern w:val="0"/>
                <w:szCs w:val="20"/>
                <w:lang w:eastAsia="sl-SI"/>
                <w14:ligatures w14:val="none"/>
              </w:rPr>
            </w:pPr>
            <w:r w:rsidRPr="006F71EC">
              <w:rPr>
                <w:rFonts w:eastAsia="Times New Roman" w:cs="Arial"/>
                <w:color w:val="000000"/>
                <w:kern w:val="0"/>
                <w:szCs w:val="20"/>
                <w:lang w:eastAsia="sl-SI"/>
                <w14:ligatures w14:val="none"/>
              </w:rPr>
              <w:t>Mala in srednja podjetja (MSP), ki uvajajo inovacije pri proizvodih ali procesih</w:t>
            </w:r>
          </w:p>
        </w:tc>
        <w:tc>
          <w:tcPr>
            <w:tcW w:w="1275" w:type="dxa"/>
            <w:tcBorders>
              <w:top w:val="nil"/>
              <w:left w:val="nil"/>
              <w:bottom w:val="single" w:sz="4" w:space="0" w:color="auto"/>
              <w:right w:val="single" w:sz="4" w:space="0" w:color="auto"/>
            </w:tcBorders>
            <w:shd w:val="clear" w:color="auto" w:fill="auto"/>
            <w:noWrap/>
            <w:vAlign w:val="bottom"/>
          </w:tcPr>
          <w:p w14:paraId="013C1EDC" w14:textId="77777777" w:rsidR="007E11BA"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222</w:t>
            </w:r>
          </w:p>
        </w:tc>
        <w:tc>
          <w:tcPr>
            <w:tcW w:w="1075" w:type="dxa"/>
            <w:tcBorders>
              <w:top w:val="nil"/>
              <w:left w:val="nil"/>
              <w:bottom w:val="single" w:sz="4" w:space="0" w:color="auto"/>
              <w:right w:val="single" w:sz="4" w:space="0" w:color="auto"/>
            </w:tcBorders>
            <w:shd w:val="clear" w:color="auto" w:fill="auto"/>
            <w:noWrap/>
            <w:vAlign w:val="bottom"/>
          </w:tcPr>
          <w:p w14:paraId="7A7890A5" w14:textId="77777777" w:rsidR="007E11BA"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podjetja</w:t>
            </w:r>
          </w:p>
        </w:tc>
        <w:tc>
          <w:tcPr>
            <w:tcW w:w="1335" w:type="dxa"/>
            <w:tcBorders>
              <w:top w:val="nil"/>
              <w:left w:val="nil"/>
              <w:bottom w:val="single" w:sz="4" w:space="0" w:color="auto"/>
              <w:right w:val="single" w:sz="4" w:space="0" w:color="auto"/>
            </w:tcBorders>
            <w:shd w:val="clear" w:color="auto" w:fill="auto"/>
            <w:noWrap/>
            <w:vAlign w:val="bottom"/>
          </w:tcPr>
          <w:p w14:paraId="7E520904" w14:textId="6D630E82" w:rsidR="007E11BA" w:rsidRDefault="00FB1F4B"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99</w:t>
            </w:r>
          </w:p>
        </w:tc>
      </w:tr>
      <w:tr w:rsidR="007E11BA" w:rsidRPr="001D2761" w14:paraId="4F20AD0A" w14:textId="77777777" w:rsidTr="00814485">
        <w:trPr>
          <w:trHeight w:val="300"/>
          <w:jc w:val="center"/>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BF14CB9" w14:textId="77777777" w:rsidR="007E11BA" w:rsidRPr="00932601" w:rsidRDefault="007E11BA" w:rsidP="00F545BB">
            <w:pPr>
              <w:spacing w:after="0" w:line="240" w:lineRule="auto"/>
              <w:rPr>
                <w:rFonts w:eastAsia="Times New Roman" w:cs="Arial"/>
                <w:color w:val="000000"/>
                <w:kern w:val="0"/>
                <w:szCs w:val="20"/>
                <w:lang w:eastAsia="sl-SI"/>
                <w14:ligatures w14:val="none"/>
              </w:rPr>
            </w:pPr>
            <w:r w:rsidRPr="00101768">
              <w:rPr>
                <w:rFonts w:eastAsia="Times New Roman" w:cs="Arial"/>
                <w:color w:val="000000"/>
                <w:kern w:val="0"/>
                <w:szCs w:val="20"/>
                <w:lang w:eastAsia="sl-SI"/>
                <w14:ligatures w14:val="none"/>
              </w:rPr>
              <w:t>Bolj razvite regije</w:t>
            </w:r>
          </w:p>
        </w:tc>
        <w:tc>
          <w:tcPr>
            <w:tcW w:w="1287" w:type="dxa"/>
            <w:tcBorders>
              <w:top w:val="nil"/>
              <w:left w:val="nil"/>
              <w:bottom w:val="single" w:sz="4" w:space="0" w:color="auto"/>
              <w:right w:val="single" w:sz="4" w:space="0" w:color="auto"/>
            </w:tcBorders>
            <w:shd w:val="clear" w:color="auto" w:fill="auto"/>
            <w:noWrap/>
            <w:vAlign w:val="bottom"/>
            <w:hideMark/>
          </w:tcPr>
          <w:p w14:paraId="23193651" w14:textId="77777777" w:rsidR="007E11BA" w:rsidRPr="00932601"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RCR03</w:t>
            </w:r>
          </w:p>
        </w:tc>
        <w:tc>
          <w:tcPr>
            <w:tcW w:w="2377" w:type="dxa"/>
            <w:tcBorders>
              <w:top w:val="nil"/>
              <w:left w:val="nil"/>
              <w:bottom w:val="single" w:sz="4" w:space="0" w:color="auto"/>
              <w:right w:val="single" w:sz="4" w:space="0" w:color="auto"/>
            </w:tcBorders>
            <w:shd w:val="clear" w:color="auto" w:fill="auto"/>
            <w:noWrap/>
            <w:vAlign w:val="bottom"/>
            <w:hideMark/>
          </w:tcPr>
          <w:p w14:paraId="1945847D" w14:textId="77777777" w:rsidR="007E11BA" w:rsidRPr="00932601" w:rsidRDefault="007E11BA" w:rsidP="00E46C20">
            <w:pPr>
              <w:spacing w:after="0" w:line="240" w:lineRule="auto"/>
              <w:jc w:val="both"/>
              <w:rPr>
                <w:rFonts w:eastAsia="Times New Roman" w:cs="Arial"/>
                <w:color w:val="000000"/>
                <w:kern w:val="0"/>
                <w:szCs w:val="20"/>
                <w:lang w:eastAsia="sl-SI"/>
                <w14:ligatures w14:val="none"/>
              </w:rPr>
            </w:pPr>
            <w:r w:rsidRPr="006F71EC">
              <w:rPr>
                <w:rFonts w:eastAsia="Times New Roman" w:cs="Arial"/>
                <w:color w:val="000000"/>
                <w:kern w:val="0"/>
                <w:szCs w:val="20"/>
                <w:lang w:eastAsia="sl-SI"/>
                <w14:ligatures w14:val="none"/>
              </w:rPr>
              <w:t>Mala in srednja podjetja (MSP), ki uvajajo inovacije pri proizvodih ali procesih</w:t>
            </w:r>
          </w:p>
        </w:tc>
        <w:tc>
          <w:tcPr>
            <w:tcW w:w="1275" w:type="dxa"/>
            <w:tcBorders>
              <w:top w:val="nil"/>
              <w:left w:val="nil"/>
              <w:bottom w:val="single" w:sz="4" w:space="0" w:color="auto"/>
              <w:right w:val="single" w:sz="4" w:space="0" w:color="auto"/>
            </w:tcBorders>
            <w:shd w:val="clear" w:color="auto" w:fill="auto"/>
            <w:noWrap/>
            <w:vAlign w:val="bottom"/>
            <w:hideMark/>
          </w:tcPr>
          <w:p w14:paraId="1AF878B1" w14:textId="77777777" w:rsidR="007E11BA" w:rsidRPr="00932601"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139</w:t>
            </w:r>
          </w:p>
        </w:tc>
        <w:tc>
          <w:tcPr>
            <w:tcW w:w="1075" w:type="dxa"/>
            <w:tcBorders>
              <w:top w:val="nil"/>
              <w:left w:val="nil"/>
              <w:bottom w:val="single" w:sz="4" w:space="0" w:color="auto"/>
              <w:right w:val="single" w:sz="4" w:space="0" w:color="auto"/>
            </w:tcBorders>
            <w:shd w:val="clear" w:color="auto" w:fill="auto"/>
            <w:noWrap/>
            <w:vAlign w:val="bottom"/>
            <w:hideMark/>
          </w:tcPr>
          <w:p w14:paraId="493AEA81" w14:textId="77777777" w:rsidR="007E11BA" w:rsidRPr="00932601" w:rsidRDefault="007E11BA"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podjetja</w:t>
            </w:r>
          </w:p>
        </w:tc>
        <w:tc>
          <w:tcPr>
            <w:tcW w:w="1335" w:type="dxa"/>
            <w:tcBorders>
              <w:top w:val="nil"/>
              <w:left w:val="nil"/>
              <w:bottom w:val="single" w:sz="4" w:space="0" w:color="auto"/>
              <w:right w:val="single" w:sz="4" w:space="0" w:color="auto"/>
            </w:tcBorders>
            <w:shd w:val="clear" w:color="auto" w:fill="auto"/>
            <w:noWrap/>
            <w:vAlign w:val="bottom"/>
            <w:hideMark/>
          </w:tcPr>
          <w:p w14:paraId="74432649" w14:textId="0C309464" w:rsidR="007E11BA" w:rsidRPr="00932601" w:rsidRDefault="00FB1F4B"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59</w:t>
            </w:r>
          </w:p>
        </w:tc>
      </w:tr>
    </w:tbl>
    <w:p w14:paraId="18230E1B" w14:textId="77777777" w:rsidR="00687EF3" w:rsidRPr="008B465D" w:rsidRDefault="00687EF3" w:rsidP="00380B14">
      <w:pPr>
        <w:spacing w:after="0"/>
      </w:pPr>
    </w:p>
    <w:p w14:paraId="5D08A2AB" w14:textId="58D665CD" w:rsidR="009F43E0" w:rsidRDefault="009F43E0" w:rsidP="001A2407">
      <w:pPr>
        <w:pStyle w:val="Naslov2"/>
        <w:numPr>
          <w:ilvl w:val="1"/>
          <w:numId w:val="23"/>
        </w:numPr>
        <w:spacing w:before="0"/>
      </w:pPr>
      <w:bookmarkStart w:id="19" w:name="_Toc191383848"/>
      <w:r>
        <w:t xml:space="preserve">Predlog spremembe zaradi STEP na RSO 1.2. </w:t>
      </w:r>
      <w:r w:rsidR="0048585E" w:rsidRPr="0048585E">
        <w:t>Izkoriščanje prednosti digitalizacije za državljane, podjetja, raziskovalne organizacije in javne organe (ESRR)</w:t>
      </w:r>
      <w:bookmarkEnd w:id="19"/>
    </w:p>
    <w:p w14:paraId="0ABF6BCA" w14:textId="77777777" w:rsidR="001A2407" w:rsidRPr="001A2407" w:rsidRDefault="001A2407" w:rsidP="001A2407">
      <w:pPr>
        <w:spacing w:after="0"/>
      </w:pPr>
    </w:p>
    <w:p w14:paraId="79DE7AE1" w14:textId="62DEC8F6" w:rsidR="009F43E0" w:rsidRDefault="009F43E0" w:rsidP="001A2407">
      <w:pPr>
        <w:spacing w:after="0"/>
        <w:jc w:val="both"/>
      </w:pPr>
      <w:r>
        <w:t>Za namene STEP se predlaga znižanje sredstev in posledično sprememba kazalnikov v okviru ukrepov »</w:t>
      </w:r>
      <w:r w:rsidR="0048585E" w:rsidRPr="0048585E">
        <w:t>Dvig digitalne vključenosti in digitalnih kompetenc</w:t>
      </w:r>
      <w:r>
        <w:t>«, »</w:t>
      </w:r>
      <w:r w:rsidR="0048585E" w:rsidRPr="0048585E">
        <w:t>JR NVO</w:t>
      </w:r>
      <w:r>
        <w:t>«</w:t>
      </w:r>
      <w:r w:rsidR="0048585E">
        <w:t>,</w:t>
      </w:r>
      <w:r>
        <w:t xml:space="preserve"> »</w:t>
      </w:r>
      <w:r w:rsidR="0048585E" w:rsidRPr="0048585E">
        <w:t>Digitalna vstopna /izstopna točka Državnega odvetništva RS</w:t>
      </w:r>
      <w:r>
        <w:t>«</w:t>
      </w:r>
      <w:r w:rsidR="0048585E">
        <w:t>, »</w:t>
      </w:r>
      <w:r w:rsidR="0048585E" w:rsidRPr="0048585E">
        <w:t>Razvoj dodatnih orodji in optimizacija dostopa do sodne prakse</w:t>
      </w:r>
      <w:r w:rsidR="0048585E">
        <w:t>« in »</w:t>
      </w:r>
      <w:r w:rsidR="0048585E" w:rsidRPr="0048585E">
        <w:t>Izboljšanje spletne dostopnosti sodišč</w:t>
      </w:r>
      <w:r w:rsidR="0048585E">
        <w:t>«</w:t>
      </w:r>
      <w:r>
        <w:t xml:space="preserve"> kot je prikazano v spodnjih tabelah:</w:t>
      </w:r>
    </w:p>
    <w:p w14:paraId="7946DD6C" w14:textId="77777777" w:rsidR="001A2407" w:rsidRDefault="001A2407" w:rsidP="001A2407">
      <w:pPr>
        <w:spacing w:after="0"/>
        <w:jc w:val="both"/>
      </w:pPr>
    </w:p>
    <w:p w14:paraId="168FE321" w14:textId="5C3C2C27" w:rsidR="008E059A" w:rsidRPr="00814485" w:rsidRDefault="008E059A" w:rsidP="00814485">
      <w:pPr>
        <w:pStyle w:val="Napis"/>
        <w:keepNext/>
        <w:spacing w:after="0"/>
        <w:jc w:val="both"/>
        <w:rPr>
          <w:i w:val="0"/>
          <w:iCs w:val="0"/>
          <w:color w:val="auto"/>
          <w:sz w:val="20"/>
          <w:szCs w:val="20"/>
        </w:rPr>
      </w:pPr>
      <w:bookmarkStart w:id="20" w:name="_Toc191459949"/>
      <w:r w:rsidRPr="00814485">
        <w:rPr>
          <w:i w:val="0"/>
          <w:iCs w:val="0"/>
          <w:color w:val="auto"/>
          <w:sz w:val="20"/>
          <w:szCs w:val="20"/>
        </w:rPr>
        <w:t xml:space="preserve">Tabela </w:t>
      </w:r>
      <w:r w:rsidRPr="00814485">
        <w:rPr>
          <w:i w:val="0"/>
          <w:iCs w:val="0"/>
          <w:color w:val="auto"/>
          <w:sz w:val="20"/>
          <w:szCs w:val="20"/>
        </w:rPr>
        <w:fldChar w:fldCharType="begin"/>
      </w:r>
      <w:r w:rsidRPr="00814485">
        <w:rPr>
          <w:i w:val="0"/>
          <w:iCs w:val="0"/>
          <w:color w:val="auto"/>
          <w:sz w:val="20"/>
          <w:szCs w:val="20"/>
        </w:rPr>
        <w:instrText xml:space="preserve"> SEQ Tabela \* ARABIC </w:instrText>
      </w:r>
      <w:r w:rsidRPr="00814485">
        <w:rPr>
          <w:i w:val="0"/>
          <w:iCs w:val="0"/>
          <w:color w:val="auto"/>
          <w:sz w:val="20"/>
          <w:szCs w:val="20"/>
        </w:rPr>
        <w:fldChar w:fldCharType="separate"/>
      </w:r>
      <w:r w:rsidR="00784805">
        <w:rPr>
          <w:i w:val="0"/>
          <w:iCs w:val="0"/>
          <w:noProof/>
          <w:color w:val="auto"/>
          <w:sz w:val="20"/>
          <w:szCs w:val="20"/>
        </w:rPr>
        <w:t>5</w:t>
      </w:r>
      <w:r w:rsidRPr="00814485">
        <w:rPr>
          <w:i w:val="0"/>
          <w:iCs w:val="0"/>
          <w:color w:val="auto"/>
          <w:sz w:val="20"/>
          <w:szCs w:val="20"/>
        </w:rPr>
        <w:fldChar w:fldCharType="end"/>
      </w:r>
      <w:r w:rsidRPr="00814485">
        <w:rPr>
          <w:i w:val="0"/>
          <w:iCs w:val="0"/>
          <w:color w:val="auto"/>
          <w:sz w:val="20"/>
          <w:szCs w:val="20"/>
        </w:rPr>
        <w:t>: Predlagano znižanje sredstev se odrazi v delu »Tabela 4: Razsežnost 1 – področje ukrepanja«</w:t>
      </w:r>
      <w:bookmarkEnd w:id="20"/>
    </w:p>
    <w:p w14:paraId="6EADD26E" w14:textId="77777777" w:rsidR="008E059A" w:rsidRPr="008E059A" w:rsidRDefault="008E059A" w:rsidP="008E059A">
      <w:pPr>
        <w:spacing w:after="0"/>
      </w:pPr>
    </w:p>
    <w:tbl>
      <w:tblPr>
        <w:tblStyle w:val="Tabelamrea1"/>
        <w:tblW w:w="0" w:type="auto"/>
        <w:tblLayout w:type="fixed"/>
        <w:tblLook w:val="04A0" w:firstRow="1" w:lastRow="0" w:firstColumn="1" w:lastColumn="0" w:noHBand="0" w:noVBand="1"/>
      </w:tblPr>
      <w:tblGrid>
        <w:gridCol w:w="846"/>
        <w:gridCol w:w="1276"/>
        <w:gridCol w:w="2409"/>
        <w:gridCol w:w="1560"/>
        <w:gridCol w:w="1417"/>
        <w:gridCol w:w="1554"/>
      </w:tblGrid>
      <w:tr w:rsidR="00F453D7" w:rsidRPr="00932601" w14:paraId="6850DAC0" w14:textId="77777777" w:rsidTr="00A30B8F">
        <w:trPr>
          <w:trHeight w:val="300"/>
        </w:trPr>
        <w:tc>
          <w:tcPr>
            <w:tcW w:w="846" w:type="dxa"/>
            <w:shd w:val="clear" w:color="auto" w:fill="D9E2F3" w:themeFill="accent1" w:themeFillTint="33"/>
            <w:noWrap/>
            <w:hideMark/>
          </w:tcPr>
          <w:p w14:paraId="3B8BE030" w14:textId="77777777" w:rsidR="007E11BA" w:rsidRPr="00932601" w:rsidRDefault="007E11BA" w:rsidP="00F545BB">
            <w:pPr>
              <w:rPr>
                <w:rFonts w:eastAsia="Times New Roman" w:cs="Arial"/>
                <w:color w:val="000000"/>
              </w:rPr>
            </w:pPr>
            <w:r w:rsidRPr="00932601">
              <w:rPr>
                <w:rFonts w:eastAsia="Times New Roman" w:cs="Arial"/>
                <w:color w:val="000000"/>
              </w:rPr>
              <w:t>Sklad</w:t>
            </w:r>
          </w:p>
        </w:tc>
        <w:tc>
          <w:tcPr>
            <w:tcW w:w="1276" w:type="dxa"/>
            <w:shd w:val="clear" w:color="auto" w:fill="D9E2F3" w:themeFill="accent1" w:themeFillTint="33"/>
            <w:noWrap/>
            <w:hideMark/>
          </w:tcPr>
          <w:p w14:paraId="00247146" w14:textId="77777777" w:rsidR="007E11BA" w:rsidRPr="00932601" w:rsidRDefault="007E11BA" w:rsidP="00F545BB">
            <w:pPr>
              <w:rPr>
                <w:rFonts w:eastAsia="Times New Roman" w:cs="Arial"/>
                <w:color w:val="000000"/>
              </w:rPr>
            </w:pPr>
            <w:r w:rsidRPr="00932601">
              <w:rPr>
                <w:rFonts w:eastAsia="Times New Roman" w:cs="Arial"/>
                <w:color w:val="000000"/>
              </w:rPr>
              <w:t>Kategorija regije</w:t>
            </w:r>
          </w:p>
        </w:tc>
        <w:tc>
          <w:tcPr>
            <w:tcW w:w="2409" w:type="dxa"/>
            <w:shd w:val="clear" w:color="auto" w:fill="D9E2F3" w:themeFill="accent1" w:themeFillTint="33"/>
            <w:noWrap/>
            <w:hideMark/>
          </w:tcPr>
          <w:p w14:paraId="111A4A1F" w14:textId="77777777" w:rsidR="007E11BA" w:rsidRPr="00932601" w:rsidRDefault="007E11BA" w:rsidP="00F545BB">
            <w:pPr>
              <w:rPr>
                <w:rFonts w:eastAsia="Times New Roman" w:cs="Arial"/>
                <w:color w:val="000000"/>
              </w:rPr>
            </w:pPr>
            <w:r w:rsidRPr="00932601">
              <w:rPr>
                <w:rFonts w:eastAsia="Times New Roman" w:cs="Arial"/>
                <w:color w:val="000000"/>
              </w:rPr>
              <w:t>Oznaka</w:t>
            </w:r>
          </w:p>
        </w:tc>
        <w:tc>
          <w:tcPr>
            <w:tcW w:w="1560" w:type="dxa"/>
            <w:shd w:val="clear" w:color="auto" w:fill="D9E2F3" w:themeFill="accent1" w:themeFillTint="33"/>
            <w:noWrap/>
            <w:hideMark/>
          </w:tcPr>
          <w:p w14:paraId="389A49E0" w14:textId="77777777" w:rsidR="007E11BA" w:rsidRPr="00932601" w:rsidRDefault="007E11BA" w:rsidP="00F545BB">
            <w:pPr>
              <w:rPr>
                <w:rFonts w:eastAsia="Times New Roman" w:cs="Arial"/>
                <w:color w:val="000000"/>
              </w:rPr>
            </w:pPr>
            <w:r w:rsidRPr="00932601">
              <w:rPr>
                <w:rFonts w:eastAsia="Times New Roman" w:cs="Arial"/>
                <w:color w:val="000000"/>
              </w:rPr>
              <w:t>Znesek</w:t>
            </w:r>
          </w:p>
        </w:tc>
        <w:tc>
          <w:tcPr>
            <w:tcW w:w="1417" w:type="dxa"/>
            <w:shd w:val="clear" w:color="auto" w:fill="D9E2F3" w:themeFill="accent1" w:themeFillTint="33"/>
            <w:noWrap/>
            <w:hideMark/>
          </w:tcPr>
          <w:p w14:paraId="1210EA94" w14:textId="77777777" w:rsidR="007E11BA" w:rsidRPr="00932601" w:rsidRDefault="007E11BA" w:rsidP="00F545BB">
            <w:pPr>
              <w:rPr>
                <w:rFonts w:eastAsia="Times New Roman" w:cs="Arial"/>
                <w:color w:val="000000"/>
              </w:rPr>
            </w:pPr>
            <w:r w:rsidRPr="00932601">
              <w:rPr>
                <w:rFonts w:eastAsia="Times New Roman" w:cs="Arial"/>
                <w:color w:val="000000"/>
              </w:rPr>
              <w:t>Predlagana sprememba</w:t>
            </w:r>
          </w:p>
        </w:tc>
        <w:tc>
          <w:tcPr>
            <w:tcW w:w="1554" w:type="dxa"/>
            <w:shd w:val="clear" w:color="auto" w:fill="D9E2F3" w:themeFill="accent1" w:themeFillTint="33"/>
            <w:noWrap/>
            <w:hideMark/>
          </w:tcPr>
          <w:p w14:paraId="2E03F167" w14:textId="6DAC77EC" w:rsidR="007E11BA" w:rsidRPr="00932601" w:rsidRDefault="007E11BA" w:rsidP="00F545BB">
            <w:pPr>
              <w:rPr>
                <w:rFonts w:eastAsia="Times New Roman" w:cs="Arial"/>
                <w:color w:val="000000"/>
              </w:rPr>
            </w:pPr>
            <w:r>
              <w:rPr>
                <w:rFonts w:eastAsia="Times New Roman" w:cs="Arial"/>
                <w:color w:val="000000"/>
              </w:rPr>
              <w:t>Spremenjen znesek</w:t>
            </w:r>
          </w:p>
        </w:tc>
      </w:tr>
      <w:tr w:rsidR="00F453D7" w:rsidRPr="00FF23F3" w14:paraId="3D756D4F" w14:textId="77777777" w:rsidTr="00A30B8F">
        <w:trPr>
          <w:trHeight w:val="300"/>
        </w:trPr>
        <w:tc>
          <w:tcPr>
            <w:tcW w:w="846" w:type="dxa"/>
            <w:noWrap/>
          </w:tcPr>
          <w:p w14:paraId="0B5587EE" w14:textId="1545D49B" w:rsidR="00F453D7" w:rsidRPr="00932601" w:rsidRDefault="00F453D7" w:rsidP="00F453D7">
            <w:pPr>
              <w:rPr>
                <w:rFonts w:eastAsia="Times New Roman" w:cs="Arial"/>
                <w:color w:val="000000"/>
              </w:rPr>
            </w:pPr>
            <w:r>
              <w:rPr>
                <w:rFonts w:eastAsia="Times New Roman" w:cs="Arial"/>
                <w:color w:val="000000"/>
              </w:rPr>
              <w:t>ESRR</w:t>
            </w:r>
          </w:p>
        </w:tc>
        <w:tc>
          <w:tcPr>
            <w:tcW w:w="1276" w:type="dxa"/>
            <w:noWrap/>
          </w:tcPr>
          <w:p w14:paraId="6B4C772C" w14:textId="6240606D" w:rsidR="00F453D7" w:rsidRPr="00932601" w:rsidRDefault="00F453D7" w:rsidP="00F453D7">
            <w:pPr>
              <w:jc w:val="both"/>
              <w:rPr>
                <w:rFonts w:eastAsia="Times New Roman" w:cs="Arial"/>
                <w:color w:val="000000"/>
              </w:rPr>
            </w:pPr>
            <w:r w:rsidRPr="008F598F">
              <w:rPr>
                <w:rFonts w:eastAsia="Times New Roman" w:cs="Arial"/>
                <w:color w:val="000000"/>
              </w:rPr>
              <w:t>Manj razvite regije</w:t>
            </w:r>
          </w:p>
        </w:tc>
        <w:tc>
          <w:tcPr>
            <w:tcW w:w="2409" w:type="dxa"/>
            <w:noWrap/>
          </w:tcPr>
          <w:p w14:paraId="6F84B849" w14:textId="37ADB080" w:rsidR="00F453D7" w:rsidRPr="00C71F21" w:rsidRDefault="00F453D7" w:rsidP="00F453D7">
            <w:pPr>
              <w:jc w:val="both"/>
              <w:rPr>
                <w:rFonts w:eastAsia="Times New Roman" w:cs="Arial"/>
                <w:color w:val="000000"/>
              </w:rPr>
            </w:pPr>
            <w:r w:rsidRPr="00D14C32">
              <w:rPr>
                <w:rFonts w:eastAsia="Times New Roman" w:cs="Arial"/>
                <w:color w:val="000000"/>
              </w:rPr>
              <w:t>016. Vladne rešitve IKT, e-storitve, aplikacije</w:t>
            </w:r>
          </w:p>
        </w:tc>
        <w:tc>
          <w:tcPr>
            <w:tcW w:w="1560" w:type="dxa"/>
            <w:noWrap/>
          </w:tcPr>
          <w:p w14:paraId="519EB889" w14:textId="75ACEB77" w:rsidR="00F453D7" w:rsidRPr="00C71F21" w:rsidRDefault="00F453D7" w:rsidP="00F453D7">
            <w:pPr>
              <w:rPr>
                <w:rFonts w:eastAsia="Times New Roman" w:cs="Arial"/>
                <w:color w:val="000000"/>
              </w:rPr>
            </w:pPr>
            <w:r>
              <w:rPr>
                <w:color w:val="000000"/>
              </w:rPr>
              <w:t>25.060.934,00</w:t>
            </w:r>
          </w:p>
        </w:tc>
        <w:tc>
          <w:tcPr>
            <w:tcW w:w="1417" w:type="dxa"/>
            <w:noWrap/>
          </w:tcPr>
          <w:p w14:paraId="511A4EE3" w14:textId="002AD33C" w:rsidR="00F453D7" w:rsidRDefault="00F453D7" w:rsidP="00F453D7">
            <w:pPr>
              <w:rPr>
                <w:rFonts w:eastAsia="Times New Roman" w:cs="Arial"/>
                <w:color w:val="000000"/>
              </w:rPr>
            </w:pPr>
            <w:r>
              <w:rPr>
                <w:rFonts w:eastAsia="Times New Roman" w:cs="Arial"/>
                <w:color w:val="000000"/>
              </w:rPr>
              <w:t>520.544,00</w:t>
            </w:r>
          </w:p>
        </w:tc>
        <w:tc>
          <w:tcPr>
            <w:tcW w:w="1554" w:type="dxa"/>
            <w:noWrap/>
          </w:tcPr>
          <w:p w14:paraId="7951429D" w14:textId="11B5FD8D" w:rsidR="00F453D7" w:rsidRPr="00FF23F3" w:rsidRDefault="00F453D7" w:rsidP="00F453D7">
            <w:pPr>
              <w:rPr>
                <w:rFonts w:eastAsia="Times New Roman" w:cs="Arial"/>
                <w:color w:val="000000"/>
                <w:highlight w:val="yellow"/>
              </w:rPr>
            </w:pPr>
            <w:r w:rsidRPr="00FF23F3">
              <w:rPr>
                <w:rFonts w:eastAsia="Times New Roman" w:cs="Arial"/>
                <w:color w:val="000000"/>
              </w:rPr>
              <w:t>24.540.390,00</w:t>
            </w:r>
          </w:p>
        </w:tc>
      </w:tr>
      <w:tr w:rsidR="00F453D7" w:rsidRPr="00FF23F3" w14:paraId="07C0AD06" w14:textId="77777777" w:rsidTr="00A30B8F">
        <w:trPr>
          <w:trHeight w:val="300"/>
        </w:trPr>
        <w:tc>
          <w:tcPr>
            <w:tcW w:w="846" w:type="dxa"/>
            <w:noWrap/>
          </w:tcPr>
          <w:p w14:paraId="5CEF354E" w14:textId="2A3A6C8B" w:rsidR="00F453D7" w:rsidRDefault="00F453D7" w:rsidP="00F453D7">
            <w:pPr>
              <w:rPr>
                <w:rFonts w:eastAsia="Times New Roman" w:cs="Arial"/>
                <w:color w:val="000000"/>
              </w:rPr>
            </w:pPr>
            <w:r>
              <w:rPr>
                <w:rFonts w:eastAsia="Times New Roman" w:cs="Arial"/>
                <w:color w:val="000000"/>
              </w:rPr>
              <w:t>ESRR</w:t>
            </w:r>
          </w:p>
        </w:tc>
        <w:tc>
          <w:tcPr>
            <w:tcW w:w="1276" w:type="dxa"/>
            <w:noWrap/>
          </w:tcPr>
          <w:p w14:paraId="5FDCE7B9" w14:textId="2A61CC0B" w:rsidR="00F453D7" w:rsidRDefault="00F453D7" w:rsidP="00F453D7">
            <w:pPr>
              <w:jc w:val="both"/>
              <w:rPr>
                <w:rFonts w:eastAsia="Times New Roman" w:cs="Arial"/>
                <w:color w:val="000000"/>
              </w:rPr>
            </w:pPr>
            <w:r w:rsidRPr="008F598F">
              <w:rPr>
                <w:rFonts w:eastAsia="Times New Roman" w:cs="Arial"/>
                <w:color w:val="000000"/>
              </w:rPr>
              <w:t>Bolj razvite regije</w:t>
            </w:r>
          </w:p>
        </w:tc>
        <w:tc>
          <w:tcPr>
            <w:tcW w:w="2409" w:type="dxa"/>
            <w:noWrap/>
          </w:tcPr>
          <w:p w14:paraId="38B27DBF" w14:textId="77D1EDE3" w:rsidR="00F453D7" w:rsidRPr="00FF23F3" w:rsidRDefault="00F453D7" w:rsidP="00F453D7">
            <w:pPr>
              <w:jc w:val="both"/>
              <w:rPr>
                <w:rFonts w:eastAsia="Times New Roman" w:cs="Arial"/>
                <w:color w:val="000000"/>
                <w:highlight w:val="yellow"/>
              </w:rPr>
            </w:pPr>
            <w:r w:rsidRPr="00D14C32">
              <w:rPr>
                <w:rFonts w:eastAsia="Times New Roman" w:cs="Arial"/>
                <w:color w:val="000000"/>
              </w:rPr>
              <w:t>016. Vladne rešitve IKT, e-storitve, aplikacije</w:t>
            </w:r>
          </w:p>
        </w:tc>
        <w:tc>
          <w:tcPr>
            <w:tcW w:w="1560" w:type="dxa"/>
            <w:noWrap/>
          </w:tcPr>
          <w:p w14:paraId="328EE48D" w14:textId="546ED0D2" w:rsidR="00F453D7" w:rsidRPr="00FF23F3" w:rsidRDefault="00F453D7" w:rsidP="00F453D7">
            <w:pPr>
              <w:rPr>
                <w:rFonts w:eastAsia="Times New Roman" w:cs="Arial"/>
                <w:color w:val="000000"/>
                <w:highlight w:val="yellow"/>
              </w:rPr>
            </w:pPr>
            <w:r>
              <w:rPr>
                <w:color w:val="000000"/>
              </w:rPr>
              <w:t>18.849.114,00</w:t>
            </w:r>
          </w:p>
        </w:tc>
        <w:tc>
          <w:tcPr>
            <w:tcW w:w="1417" w:type="dxa"/>
            <w:noWrap/>
          </w:tcPr>
          <w:p w14:paraId="2EE2B8BC" w14:textId="093BE882" w:rsidR="00F453D7" w:rsidRPr="00FF23F3" w:rsidRDefault="00F453D7" w:rsidP="00F453D7">
            <w:pPr>
              <w:rPr>
                <w:rFonts w:eastAsia="Times New Roman" w:cs="Arial"/>
                <w:color w:val="000000"/>
                <w:highlight w:val="yellow"/>
              </w:rPr>
            </w:pPr>
            <w:r w:rsidRPr="00FF23F3">
              <w:rPr>
                <w:rFonts w:eastAsia="Times New Roman" w:cs="Arial"/>
                <w:color w:val="000000"/>
              </w:rPr>
              <w:t>375.038,00</w:t>
            </w:r>
          </w:p>
        </w:tc>
        <w:tc>
          <w:tcPr>
            <w:tcW w:w="1554" w:type="dxa"/>
            <w:noWrap/>
          </w:tcPr>
          <w:p w14:paraId="4AD5D106" w14:textId="0CFC6C44" w:rsidR="00F453D7" w:rsidRPr="00FF23F3" w:rsidRDefault="00F453D7" w:rsidP="00F453D7">
            <w:pPr>
              <w:rPr>
                <w:rFonts w:eastAsia="Times New Roman" w:cs="Arial"/>
                <w:color w:val="000000"/>
                <w:highlight w:val="yellow"/>
              </w:rPr>
            </w:pPr>
            <w:r w:rsidRPr="00FF23F3">
              <w:rPr>
                <w:rFonts w:eastAsia="Times New Roman" w:cs="Arial"/>
                <w:color w:val="000000"/>
              </w:rPr>
              <w:t>18.474.076,00</w:t>
            </w:r>
          </w:p>
        </w:tc>
      </w:tr>
      <w:tr w:rsidR="00F453D7" w:rsidRPr="00FF23F3" w14:paraId="1A9B644B" w14:textId="77777777" w:rsidTr="00A30B8F">
        <w:trPr>
          <w:trHeight w:val="300"/>
        </w:trPr>
        <w:tc>
          <w:tcPr>
            <w:tcW w:w="846" w:type="dxa"/>
            <w:noWrap/>
          </w:tcPr>
          <w:p w14:paraId="16C9F921" w14:textId="56635056" w:rsidR="00F453D7" w:rsidRDefault="00F453D7" w:rsidP="00F453D7">
            <w:pPr>
              <w:rPr>
                <w:rFonts w:eastAsia="Times New Roman" w:cs="Arial"/>
                <w:color w:val="000000"/>
              </w:rPr>
            </w:pPr>
            <w:r>
              <w:rPr>
                <w:rFonts w:eastAsia="Times New Roman" w:cs="Arial"/>
                <w:color w:val="000000"/>
              </w:rPr>
              <w:t>ESRR</w:t>
            </w:r>
          </w:p>
        </w:tc>
        <w:tc>
          <w:tcPr>
            <w:tcW w:w="1276" w:type="dxa"/>
            <w:noWrap/>
          </w:tcPr>
          <w:p w14:paraId="5D672B3F" w14:textId="3B0DCAD6" w:rsidR="00F453D7" w:rsidRPr="008F598F" w:rsidRDefault="00F453D7" w:rsidP="00F453D7">
            <w:pPr>
              <w:jc w:val="both"/>
              <w:rPr>
                <w:rFonts w:eastAsia="Times New Roman" w:cs="Arial"/>
                <w:color w:val="000000"/>
              </w:rPr>
            </w:pPr>
            <w:r w:rsidRPr="008F598F">
              <w:rPr>
                <w:rFonts w:eastAsia="Times New Roman" w:cs="Arial"/>
                <w:color w:val="000000"/>
              </w:rPr>
              <w:t>Manj razvite regije</w:t>
            </w:r>
          </w:p>
        </w:tc>
        <w:tc>
          <w:tcPr>
            <w:tcW w:w="2409" w:type="dxa"/>
            <w:noWrap/>
          </w:tcPr>
          <w:p w14:paraId="59F2FBEF" w14:textId="1B2B342F" w:rsidR="00F453D7" w:rsidRPr="00D14C32" w:rsidRDefault="00F453D7" w:rsidP="00F453D7">
            <w:pPr>
              <w:jc w:val="both"/>
              <w:rPr>
                <w:rFonts w:eastAsia="Times New Roman" w:cs="Arial"/>
                <w:color w:val="000000"/>
              </w:rPr>
            </w:pPr>
            <w:r>
              <w:rPr>
                <w:rFonts w:eastAsia="Times New Roman" w:cs="Arial"/>
                <w:color w:val="000000"/>
              </w:rPr>
              <w:t>018. Storitve IT in aplikacije za digitalne spretnosti in digitalno vključenost</w:t>
            </w:r>
          </w:p>
        </w:tc>
        <w:tc>
          <w:tcPr>
            <w:tcW w:w="1560" w:type="dxa"/>
            <w:noWrap/>
          </w:tcPr>
          <w:p w14:paraId="59B7D6D1" w14:textId="637DAAA4" w:rsidR="00F453D7" w:rsidRDefault="00F453D7" w:rsidP="00F453D7">
            <w:pPr>
              <w:rPr>
                <w:color w:val="000000"/>
              </w:rPr>
            </w:pPr>
            <w:r>
              <w:rPr>
                <w:color w:val="000000"/>
              </w:rPr>
              <w:t>11.674.546,00</w:t>
            </w:r>
          </w:p>
        </w:tc>
        <w:tc>
          <w:tcPr>
            <w:tcW w:w="1417" w:type="dxa"/>
            <w:noWrap/>
          </w:tcPr>
          <w:p w14:paraId="7CB8E557" w14:textId="67083EED" w:rsidR="00F453D7" w:rsidRPr="00FF23F3" w:rsidRDefault="00F453D7" w:rsidP="00F453D7">
            <w:pPr>
              <w:rPr>
                <w:rFonts w:eastAsia="Times New Roman" w:cs="Arial"/>
                <w:color w:val="000000"/>
              </w:rPr>
            </w:pPr>
            <w:r>
              <w:rPr>
                <w:rFonts w:eastAsia="Times New Roman" w:cs="Arial"/>
                <w:color w:val="000000"/>
              </w:rPr>
              <w:t>4.751.368,00</w:t>
            </w:r>
          </w:p>
        </w:tc>
        <w:tc>
          <w:tcPr>
            <w:tcW w:w="1554" w:type="dxa"/>
            <w:noWrap/>
          </w:tcPr>
          <w:p w14:paraId="5C433D81" w14:textId="4262F2C6" w:rsidR="00F453D7" w:rsidRPr="00FF23F3" w:rsidRDefault="00F453D7" w:rsidP="00F453D7">
            <w:pPr>
              <w:rPr>
                <w:rFonts w:eastAsia="Times New Roman" w:cs="Arial"/>
                <w:color w:val="000000"/>
              </w:rPr>
            </w:pPr>
            <w:r>
              <w:rPr>
                <w:rFonts w:eastAsia="Times New Roman" w:cs="Arial"/>
                <w:color w:val="000000"/>
              </w:rPr>
              <w:t>6.923.178,00</w:t>
            </w:r>
          </w:p>
        </w:tc>
      </w:tr>
      <w:tr w:rsidR="00F453D7" w:rsidRPr="00FF23F3" w14:paraId="6833FDBF" w14:textId="77777777" w:rsidTr="00A30B8F">
        <w:trPr>
          <w:trHeight w:val="300"/>
        </w:trPr>
        <w:tc>
          <w:tcPr>
            <w:tcW w:w="846" w:type="dxa"/>
            <w:noWrap/>
          </w:tcPr>
          <w:p w14:paraId="04F4AB4E" w14:textId="2D9A81B2" w:rsidR="00F453D7" w:rsidRDefault="00F453D7" w:rsidP="00F453D7">
            <w:pPr>
              <w:rPr>
                <w:rFonts w:eastAsia="Times New Roman" w:cs="Arial"/>
                <w:color w:val="000000"/>
              </w:rPr>
            </w:pPr>
            <w:r>
              <w:rPr>
                <w:rFonts w:eastAsia="Times New Roman" w:cs="Arial"/>
                <w:color w:val="000000"/>
              </w:rPr>
              <w:t>ESRR</w:t>
            </w:r>
          </w:p>
        </w:tc>
        <w:tc>
          <w:tcPr>
            <w:tcW w:w="1276" w:type="dxa"/>
            <w:noWrap/>
          </w:tcPr>
          <w:p w14:paraId="395C8895" w14:textId="1B6E666E" w:rsidR="00F453D7" w:rsidRPr="008F598F" w:rsidRDefault="00F453D7" w:rsidP="00F453D7">
            <w:pPr>
              <w:jc w:val="both"/>
              <w:rPr>
                <w:rFonts w:eastAsia="Times New Roman" w:cs="Arial"/>
                <w:color w:val="000000"/>
              </w:rPr>
            </w:pPr>
            <w:r w:rsidRPr="008F598F">
              <w:rPr>
                <w:rFonts w:eastAsia="Times New Roman" w:cs="Arial"/>
                <w:color w:val="000000"/>
              </w:rPr>
              <w:t>Bolj razvite regije</w:t>
            </w:r>
          </w:p>
        </w:tc>
        <w:tc>
          <w:tcPr>
            <w:tcW w:w="2409" w:type="dxa"/>
            <w:noWrap/>
          </w:tcPr>
          <w:p w14:paraId="2DF08D47" w14:textId="755C387D" w:rsidR="00F453D7" w:rsidRDefault="00F453D7" w:rsidP="00F453D7">
            <w:pPr>
              <w:jc w:val="both"/>
              <w:rPr>
                <w:rFonts w:eastAsia="Times New Roman" w:cs="Arial"/>
                <w:color w:val="000000"/>
              </w:rPr>
            </w:pPr>
            <w:r w:rsidRPr="004A00AD">
              <w:rPr>
                <w:rFonts w:eastAsia="Times New Roman" w:cs="Arial"/>
                <w:color w:val="000000"/>
              </w:rPr>
              <w:t>018. Storitve IT in aplikacije za digitalne spretnosti in digitalno vključenost</w:t>
            </w:r>
          </w:p>
        </w:tc>
        <w:tc>
          <w:tcPr>
            <w:tcW w:w="1560" w:type="dxa"/>
            <w:noWrap/>
          </w:tcPr>
          <w:p w14:paraId="0068ABC6" w14:textId="6DF00BE4" w:rsidR="00F453D7" w:rsidRDefault="00F453D7" w:rsidP="00F453D7">
            <w:pPr>
              <w:rPr>
                <w:color w:val="000000"/>
              </w:rPr>
            </w:pPr>
            <w:r>
              <w:rPr>
                <w:color w:val="000000"/>
              </w:rPr>
              <w:t>7.841.184,00</w:t>
            </w:r>
          </w:p>
        </w:tc>
        <w:tc>
          <w:tcPr>
            <w:tcW w:w="1417" w:type="dxa"/>
            <w:noWrap/>
          </w:tcPr>
          <w:p w14:paraId="4A926946" w14:textId="2D052D07" w:rsidR="00F453D7" w:rsidRDefault="00F453D7" w:rsidP="00F453D7">
            <w:pPr>
              <w:rPr>
                <w:rFonts w:eastAsia="Times New Roman" w:cs="Arial"/>
                <w:color w:val="000000"/>
              </w:rPr>
            </w:pPr>
            <w:r>
              <w:rPr>
                <w:rFonts w:eastAsia="Times New Roman" w:cs="Arial"/>
                <w:color w:val="000000"/>
              </w:rPr>
              <w:t>3.398.986,00</w:t>
            </w:r>
          </w:p>
        </w:tc>
        <w:tc>
          <w:tcPr>
            <w:tcW w:w="1554" w:type="dxa"/>
            <w:noWrap/>
          </w:tcPr>
          <w:p w14:paraId="6DDD91EC" w14:textId="3A9D417B" w:rsidR="00F453D7" w:rsidRDefault="00F453D7" w:rsidP="00F453D7">
            <w:pPr>
              <w:rPr>
                <w:rFonts w:eastAsia="Times New Roman" w:cs="Arial"/>
                <w:color w:val="000000"/>
              </w:rPr>
            </w:pPr>
            <w:r>
              <w:rPr>
                <w:rFonts w:eastAsia="Times New Roman" w:cs="Arial"/>
                <w:color w:val="000000"/>
              </w:rPr>
              <w:t>4.442.198,00</w:t>
            </w:r>
          </w:p>
        </w:tc>
      </w:tr>
    </w:tbl>
    <w:p w14:paraId="3E3E5BBC" w14:textId="77777777" w:rsidR="009F43E0" w:rsidRDefault="009F43E0" w:rsidP="001A2407">
      <w:pPr>
        <w:spacing w:after="0"/>
      </w:pPr>
    </w:p>
    <w:p w14:paraId="1BFD9D9F" w14:textId="77777777" w:rsidR="00A1055B" w:rsidRDefault="00A1055B" w:rsidP="001A2407">
      <w:pPr>
        <w:spacing w:after="0"/>
      </w:pPr>
    </w:p>
    <w:p w14:paraId="3FB5CB94" w14:textId="77777777" w:rsidR="00A1055B" w:rsidRDefault="00A1055B" w:rsidP="001A2407">
      <w:pPr>
        <w:spacing w:after="0"/>
      </w:pPr>
    </w:p>
    <w:p w14:paraId="0E4CE4EE" w14:textId="77777777" w:rsidR="00A1055B" w:rsidRDefault="00A1055B" w:rsidP="001A2407">
      <w:pPr>
        <w:spacing w:after="0"/>
      </w:pPr>
    </w:p>
    <w:p w14:paraId="1E20994D" w14:textId="77777777" w:rsidR="00A1055B" w:rsidRDefault="00A1055B" w:rsidP="001A2407">
      <w:pPr>
        <w:spacing w:after="0"/>
      </w:pPr>
    </w:p>
    <w:p w14:paraId="13F4A052" w14:textId="28842E79" w:rsidR="008E059A" w:rsidRPr="00814485" w:rsidRDefault="008E059A" w:rsidP="008E059A">
      <w:pPr>
        <w:pStyle w:val="Napis"/>
        <w:keepNext/>
        <w:spacing w:after="0"/>
        <w:rPr>
          <w:i w:val="0"/>
          <w:iCs w:val="0"/>
          <w:color w:val="auto"/>
          <w:sz w:val="20"/>
          <w:szCs w:val="20"/>
        </w:rPr>
      </w:pPr>
      <w:bookmarkStart w:id="21" w:name="_Toc191459950"/>
      <w:r w:rsidRPr="00814485">
        <w:rPr>
          <w:i w:val="0"/>
          <w:iCs w:val="0"/>
          <w:color w:val="auto"/>
          <w:sz w:val="20"/>
          <w:szCs w:val="20"/>
        </w:rPr>
        <w:lastRenderedPageBreak/>
        <w:t xml:space="preserve">Tabela </w:t>
      </w:r>
      <w:r w:rsidRPr="00814485">
        <w:rPr>
          <w:i w:val="0"/>
          <w:iCs w:val="0"/>
          <w:color w:val="auto"/>
          <w:sz w:val="20"/>
          <w:szCs w:val="20"/>
        </w:rPr>
        <w:fldChar w:fldCharType="begin"/>
      </w:r>
      <w:r w:rsidRPr="00814485">
        <w:rPr>
          <w:i w:val="0"/>
          <w:iCs w:val="0"/>
          <w:color w:val="auto"/>
          <w:sz w:val="20"/>
          <w:szCs w:val="20"/>
        </w:rPr>
        <w:instrText xml:space="preserve"> SEQ Tabela \* ARABIC </w:instrText>
      </w:r>
      <w:r w:rsidRPr="00814485">
        <w:rPr>
          <w:i w:val="0"/>
          <w:iCs w:val="0"/>
          <w:color w:val="auto"/>
          <w:sz w:val="20"/>
          <w:szCs w:val="20"/>
        </w:rPr>
        <w:fldChar w:fldCharType="separate"/>
      </w:r>
      <w:r w:rsidR="00784805">
        <w:rPr>
          <w:i w:val="0"/>
          <w:iCs w:val="0"/>
          <w:noProof/>
          <w:color w:val="auto"/>
          <w:sz w:val="20"/>
          <w:szCs w:val="20"/>
        </w:rPr>
        <w:t>6</w:t>
      </w:r>
      <w:r w:rsidRPr="00814485">
        <w:rPr>
          <w:i w:val="0"/>
          <w:iCs w:val="0"/>
          <w:color w:val="auto"/>
          <w:sz w:val="20"/>
          <w:szCs w:val="20"/>
        </w:rPr>
        <w:fldChar w:fldCharType="end"/>
      </w:r>
      <w:r w:rsidRPr="00814485">
        <w:rPr>
          <w:i w:val="0"/>
          <w:iCs w:val="0"/>
          <w:color w:val="auto"/>
          <w:sz w:val="20"/>
          <w:szCs w:val="20"/>
        </w:rPr>
        <w:t>: Predlagano znižanje kazalnikov učinka in kazalnikov rezultata</w:t>
      </w:r>
      <w:bookmarkEnd w:id="21"/>
    </w:p>
    <w:p w14:paraId="585F663B" w14:textId="77777777" w:rsidR="008E059A" w:rsidRPr="008E059A" w:rsidRDefault="008E059A" w:rsidP="008E059A">
      <w:pPr>
        <w:spacing w:after="0"/>
      </w:pPr>
    </w:p>
    <w:tbl>
      <w:tblPr>
        <w:tblW w:w="5006" w:type="pct"/>
        <w:jc w:val="center"/>
        <w:tblLayout w:type="fixed"/>
        <w:tblCellMar>
          <w:left w:w="70" w:type="dxa"/>
          <w:right w:w="70" w:type="dxa"/>
        </w:tblCellMar>
        <w:tblLook w:val="04A0" w:firstRow="1" w:lastRow="0" w:firstColumn="1" w:lastColumn="0" w:noHBand="0" w:noVBand="1"/>
      </w:tblPr>
      <w:tblGrid>
        <w:gridCol w:w="1129"/>
        <w:gridCol w:w="1281"/>
        <w:gridCol w:w="2831"/>
        <w:gridCol w:w="1190"/>
        <w:gridCol w:w="1100"/>
        <w:gridCol w:w="1542"/>
      </w:tblGrid>
      <w:tr w:rsidR="009E5A3A" w:rsidRPr="001D2761" w14:paraId="3078651A" w14:textId="77777777" w:rsidTr="003C7AB9">
        <w:trPr>
          <w:trHeight w:val="757"/>
          <w:jc w:val="center"/>
        </w:trPr>
        <w:tc>
          <w:tcPr>
            <w:tcW w:w="622"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A5BC81F" w14:textId="77777777" w:rsidR="009F43E0" w:rsidRPr="009E5A3A" w:rsidRDefault="009F43E0" w:rsidP="00F545BB">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Kategorija regije</w:t>
            </w:r>
          </w:p>
        </w:tc>
        <w:tc>
          <w:tcPr>
            <w:tcW w:w="706" w:type="pct"/>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5E193D81" w14:textId="77777777" w:rsidR="009F43E0" w:rsidRPr="009E5A3A" w:rsidRDefault="009F43E0" w:rsidP="00F545BB">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Identifikator</w:t>
            </w:r>
          </w:p>
        </w:tc>
        <w:tc>
          <w:tcPr>
            <w:tcW w:w="1560" w:type="pct"/>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09595B74" w14:textId="77777777" w:rsidR="009F43E0" w:rsidRPr="009E5A3A" w:rsidRDefault="009F43E0" w:rsidP="00F545BB">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Kazalnik</w:t>
            </w:r>
          </w:p>
        </w:tc>
        <w:tc>
          <w:tcPr>
            <w:tcW w:w="656" w:type="pct"/>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44161F99" w14:textId="77777777" w:rsidR="009F43E0" w:rsidRPr="009E5A3A" w:rsidRDefault="009F43E0" w:rsidP="00F545BB">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Cilj (2029)</w:t>
            </w:r>
          </w:p>
        </w:tc>
        <w:tc>
          <w:tcPr>
            <w:tcW w:w="606" w:type="pct"/>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1FC6FBBD" w14:textId="77777777" w:rsidR="009F43E0" w:rsidRPr="009E5A3A" w:rsidRDefault="009F43E0" w:rsidP="00F545BB">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Merska enota</w:t>
            </w:r>
          </w:p>
        </w:tc>
        <w:tc>
          <w:tcPr>
            <w:tcW w:w="850" w:type="pct"/>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2FB43C41" w14:textId="77777777" w:rsidR="009F43E0" w:rsidRPr="009E5A3A" w:rsidRDefault="009F43E0" w:rsidP="00F545BB">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Predlagana sprememba Cilj (2029)</w:t>
            </w:r>
          </w:p>
        </w:tc>
      </w:tr>
      <w:tr w:rsidR="009D09E7" w:rsidRPr="001D2761" w14:paraId="539EA239" w14:textId="77777777" w:rsidTr="003C7AB9">
        <w:trPr>
          <w:trHeight w:val="300"/>
          <w:jc w:val="center"/>
        </w:trPr>
        <w:tc>
          <w:tcPr>
            <w:tcW w:w="622" w:type="pct"/>
            <w:tcBorders>
              <w:top w:val="nil"/>
              <w:left w:val="single" w:sz="4" w:space="0" w:color="auto"/>
              <w:bottom w:val="single" w:sz="4" w:space="0" w:color="auto"/>
              <w:right w:val="single" w:sz="4" w:space="0" w:color="auto"/>
            </w:tcBorders>
            <w:shd w:val="clear" w:color="auto" w:fill="auto"/>
            <w:noWrap/>
            <w:vAlign w:val="bottom"/>
          </w:tcPr>
          <w:p w14:paraId="3D8FEF35" w14:textId="77777777" w:rsidR="009F43E0" w:rsidRPr="00687EF3" w:rsidRDefault="009F43E0" w:rsidP="00E46C20">
            <w:pPr>
              <w:spacing w:after="0" w:line="240" w:lineRule="auto"/>
              <w:jc w:val="both"/>
              <w:rPr>
                <w:rFonts w:eastAsia="Times New Roman" w:cs="Arial"/>
                <w:color w:val="000000"/>
                <w:kern w:val="0"/>
                <w:szCs w:val="20"/>
                <w:lang w:eastAsia="sl-SI"/>
                <w14:ligatures w14:val="none"/>
              </w:rPr>
            </w:pPr>
            <w:r w:rsidRPr="00101768">
              <w:rPr>
                <w:rFonts w:eastAsia="Times New Roman" w:cs="Arial"/>
                <w:color w:val="000000"/>
                <w:kern w:val="0"/>
                <w:szCs w:val="20"/>
                <w:lang w:eastAsia="sl-SI"/>
                <w14:ligatures w14:val="none"/>
              </w:rPr>
              <w:t>Manj razvite regije</w:t>
            </w:r>
          </w:p>
        </w:tc>
        <w:tc>
          <w:tcPr>
            <w:tcW w:w="706" w:type="pct"/>
            <w:tcBorders>
              <w:top w:val="nil"/>
              <w:left w:val="nil"/>
              <w:bottom w:val="single" w:sz="4" w:space="0" w:color="auto"/>
              <w:right w:val="single" w:sz="4" w:space="0" w:color="auto"/>
            </w:tcBorders>
            <w:shd w:val="clear" w:color="auto" w:fill="auto"/>
            <w:noWrap/>
            <w:vAlign w:val="bottom"/>
          </w:tcPr>
          <w:p w14:paraId="55D8AAE8" w14:textId="65FE1D7F" w:rsidR="009F43E0" w:rsidRDefault="009F43E0"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RCR</w:t>
            </w:r>
            <w:r w:rsidR="00933A09">
              <w:rPr>
                <w:rFonts w:eastAsia="Times New Roman" w:cs="Arial"/>
                <w:color w:val="000000"/>
                <w:kern w:val="0"/>
                <w:szCs w:val="20"/>
                <w:lang w:eastAsia="sl-SI"/>
                <w14:ligatures w14:val="none"/>
              </w:rPr>
              <w:t>11</w:t>
            </w:r>
          </w:p>
        </w:tc>
        <w:tc>
          <w:tcPr>
            <w:tcW w:w="1560" w:type="pct"/>
            <w:tcBorders>
              <w:top w:val="nil"/>
              <w:left w:val="nil"/>
              <w:bottom w:val="single" w:sz="4" w:space="0" w:color="auto"/>
              <w:right w:val="single" w:sz="4" w:space="0" w:color="auto"/>
            </w:tcBorders>
            <w:shd w:val="clear" w:color="auto" w:fill="auto"/>
            <w:noWrap/>
            <w:vAlign w:val="bottom"/>
          </w:tcPr>
          <w:p w14:paraId="74215A46" w14:textId="0FF12DF0" w:rsidR="009F43E0" w:rsidRPr="00687EF3" w:rsidRDefault="00933A09" w:rsidP="009D09E7">
            <w:pPr>
              <w:spacing w:after="0" w:line="240" w:lineRule="auto"/>
              <w:jc w:val="both"/>
              <w:rPr>
                <w:rFonts w:eastAsia="Times New Roman" w:cs="Arial"/>
                <w:color w:val="000000"/>
                <w:kern w:val="0"/>
                <w:szCs w:val="20"/>
                <w:lang w:eastAsia="sl-SI"/>
                <w14:ligatures w14:val="none"/>
              </w:rPr>
            </w:pPr>
            <w:r w:rsidRPr="00933A09">
              <w:rPr>
                <w:rFonts w:eastAsia="Times New Roman" w:cs="Arial"/>
                <w:color w:val="000000"/>
                <w:kern w:val="0"/>
                <w:szCs w:val="20"/>
                <w:lang w:eastAsia="sl-SI"/>
                <w14:ligatures w14:val="none"/>
              </w:rPr>
              <w:t>Uporabniki novih in nadgrajenih javnih digitalnih storitev, produktov in procesov</w:t>
            </w:r>
          </w:p>
        </w:tc>
        <w:tc>
          <w:tcPr>
            <w:tcW w:w="656" w:type="pct"/>
            <w:tcBorders>
              <w:top w:val="nil"/>
              <w:left w:val="nil"/>
              <w:bottom w:val="single" w:sz="4" w:space="0" w:color="auto"/>
              <w:right w:val="single" w:sz="4" w:space="0" w:color="auto"/>
            </w:tcBorders>
            <w:shd w:val="clear" w:color="auto" w:fill="auto"/>
            <w:noWrap/>
            <w:vAlign w:val="bottom"/>
          </w:tcPr>
          <w:p w14:paraId="3E912105" w14:textId="031B76C3" w:rsidR="009F43E0" w:rsidRDefault="00933A09" w:rsidP="00F545BB">
            <w:pPr>
              <w:spacing w:after="0" w:line="240" w:lineRule="auto"/>
              <w:rPr>
                <w:rFonts w:eastAsia="Times New Roman" w:cs="Arial"/>
                <w:color w:val="000000"/>
                <w:kern w:val="0"/>
                <w:szCs w:val="20"/>
                <w:lang w:eastAsia="sl-SI"/>
                <w14:ligatures w14:val="none"/>
              </w:rPr>
            </w:pPr>
            <w:r w:rsidRPr="00933A09">
              <w:rPr>
                <w:rFonts w:eastAsia="Times New Roman" w:cs="Arial"/>
                <w:color w:val="000000"/>
                <w:kern w:val="0"/>
                <w:szCs w:val="20"/>
                <w:lang w:eastAsia="sl-SI"/>
                <w14:ligatures w14:val="none"/>
              </w:rPr>
              <w:t>591.463,00</w:t>
            </w:r>
          </w:p>
        </w:tc>
        <w:tc>
          <w:tcPr>
            <w:tcW w:w="606" w:type="pct"/>
            <w:tcBorders>
              <w:top w:val="nil"/>
              <w:left w:val="nil"/>
              <w:bottom w:val="single" w:sz="4" w:space="0" w:color="auto"/>
              <w:right w:val="single" w:sz="4" w:space="0" w:color="auto"/>
            </w:tcBorders>
            <w:shd w:val="clear" w:color="auto" w:fill="auto"/>
            <w:noWrap/>
            <w:vAlign w:val="bottom"/>
          </w:tcPr>
          <w:p w14:paraId="60ACA4BE" w14:textId="25CCBE24" w:rsidR="009F43E0" w:rsidRDefault="00933A09" w:rsidP="00F545BB">
            <w:pPr>
              <w:spacing w:after="0" w:line="240" w:lineRule="auto"/>
              <w:rPr>
                <w:rFonts w:eastAsia="Times New Roman" w:cs="Arial"/>
                <w:color w:val="000000"/>
                <w:kern w:val="0"/>
                <w:szCs w:val="20"/>
                <w:lang w:eastAsia="sl-SI"/>
                <w14:ligatures w14:val="none"/>
              </w:rPr>
            </w:pPr>
            <w:r w:rsidRPr="00933A09">
              <w:rPr>
                <w:rFonts w:eastAsia="Times New Roman" w:cs="Arial"/>
                <w:color w:val="000000"/>
                <w:kern w:val="0"/>
                <w:szCs w:val="20"/>
                <w:lang w:eastAsia="sl-SI"/>
                <w14:ligatures w14:val="none"/>
              </w:rPr>
              <w:t>uporabniki/leto</w:t>
            </w:r>
          </w:p>
        </w:tc>
        <w:tc>
          <w:tcPr>
            <w:tcW w:w="850" w:type="pct"/>
            <w:tcBorders>
              <w:top w:val="nil"/>
              <w:left w:val="nil"/>
              <w:bottom w:val="single" w:sz="4" w:space="0" w:color="auto"/>
              <w:right w:val="single" w:sz="4" w:space="0" w:color="auto"/>
            </w:tcBorders>
            <w:shd w:val="clear" w:color="auto" w:fill="auto"/>
            <w:noWrap/>
            <w:vAlign w:val="bottom"/>
          </w:tcPr>
          <w:p w14:paraId="5A38E463" w14:textId="009F0D65" w:rsidR="009F43E0" w:rsidRDefault="00933A09"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568.268,00</w:t>
            </w:r>
          </w:p>
        </w:tc>
      </w:tr>
      <w:tr w:rsidR="009D09E7" w:rsidRPr="001D2761" w14:paraId="1079CE16" w14:textId="77777777" w:rsidTr="003C7AB9">
        <w:trPr>
          <w:trHeight w:val="300"/>
          <w:jc w:val="center"/>
        </w:trPr>
        <w:tc>
          <w:tcPr>
            <w:tcW w:w="622" w:type="pct"/>
            <w:tcBorders>
              <w:top w:val="nil"/>
              <w:left w:val="single" w:sz="4" w:space="0" w:color="auto"/>
              <w:bottom w:val="single" w:sz="4" w:space="0" w:color="auto"/>
              <w:right w:val="single" w:sz="4" w:space="0" w:color="auto"/>
            </w:tcBorders>
            <w:shd w:val="clear" w:color="auto" w:fill="auto"/>
            <w:noWrap/>
            <w:vAlign w:val="bottom"/>
            <w:hideMark/>
          </w:tcPr>
          <w:p w14:paraId="07C25301" w14:textId="77777777" w:rsidR="009F43E0" w:rsidRPr="00932601" w:rsidRDefault="009F43E0" w:rsidP="00E46C20">
            <w:pPr>
              <w:spacing w:after="0" w:line="240" w:lineRule="auto"/>
              <w:jc w:val="both"/>
              <w:rPr>
                <w:rFonts w:eastAsia="Times New Roman" w:cs="Arial"/>
                <w:color w:val="000000"/>
                <w:kern w:val="0"/>
                <w:szCs w:val="20"/>
                <w:lang w:eastAsia="sl-SI"/>
                <w14:ligatures w14:val="none"/>
              </w:rPr>
            </w:pPr>
            <w:r w:rsidRPr="00101768">
              <w:rPr>
                <w:rFonts w:eastAsia="Times New Roman" w:cs="Arial"/>
                <w:color w:val="000000"/>
                <w:kern w:val="0"/>
                <w:szCs w:val="20"/>
                <w:lang w:eastAsia="sl-SI"/>
                <w14:ligatures w14:val="none"/>
              </w:rPr>
              <w:t>Bolj razvite regije</w:t>
            </w:r>
          </w:p>
        </w:tc>
        <w:tc>
          <w:tcPr>
            <w:tcW w:w="706" w:type="pct"/>
            <w:tcBorders>
              <w:top w:val="nil"/>
              <w:left w:val="nil"/>
              <w:bottom w:val="single" w:sz="4" w:space="0" w:color="auto"/>
              <w:right w:val="single" w:sz="4" w:space="0" w:color="auto"/>
            </w:tcBorders>
            <w:shd w:val="clear" w:color="auto" w:fill="auto"/>
            <w:noWrap/>
            <w:vAlign w:val="bottom"/>
            <w:hideMark/>
          </w:tcPr>
          <w:p w14:paraId="44F70F3A" w14:textId="50659ABC" w:rsidR="009F43E0" w:rsidRPr="00932601" w:rsidRDefault="009F43E0"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RCR</w:t>
            </w:r>
            <w:r w:rsidR="00933A09">
              <w:rPr>
                <w:rFonts w:eastAsia="Times New Roman" w:cs="Arial"/>
                <w:color w:val="000000"/>
                <w:kern w:val="0"/>
                <w:szCs w:val="20"/>
                <w:lang w:eastAsia="sl-SI"/>
                <w14:ligatures w14:val="none"/>
              </w:rPr>
              <w:t>11</w:t>
            </w:r>
          </w:p>
        </w:tc>
        <w:tc>
          <w:tcPr>
            <w:tcW w:w="1560" w:type="pct"/>
            <w:tcBorders>
              <w:top w:val="nil"/>
              <w:left w:val="nil"/>
              <w:bottom w:val="single" w:sz="4" w:space="0" w:color="auto"/>
              <w:right w:val="single" w:sz="4" w:space="0" w:color="auto"/>
            </w:tcBorders>
            <w:shd w:val="clear" w:color="auto" w:fill="auto"/>
            <w:noWrap/>
            <w:vAlign w:val="bottom"/>
            <w:hideMark/>
          </w:tcPr>
          <w:p w14:paraId="550FF0F2" w14:textId="2A4D444B" w:rsidR="009F43E0" w:rsidRPr="00932601" w:rsidRDefault="00933A09" w:rsidP="009D09E7">
            <w:pPr>
              <w:spacing w:after="0" w:line="240" w:lineRule="auto"/>
              <w:jc w:val="both"/>
              <w:rPr>
                <w:rFonts w:eastAsia="Times New Roman" w:cs="Arial"/>
                <w:color w:val="000000"/>
                <w:kern w:val="0"/>
                <w:szCs w:val="20"/>
                <w:lang w:eastAsia="sl-SI"/>
                <w14:ligatures w14:val="none"/>
              </w:rPr>
            </w:pPr>
            <w:r w:rsidRPr="00933A09">
              <w:rPr>
                <w:rFonts w:eastAsia="Times New Roman" w:cs="Arial"/>
                <w:color w:val="000000"/>
                <w:kern w:val="0"/>
                <w:szCs w:val="20"/>
                <w:lang w:eastAsia="sl-SI"/>
                <w14:ligatures w14:val="none"/>
              </w:rPr>
              <w:t>Uporabniki novih in nadgrajenih javnih digitalnih storitev, produktov in procesov</w:t>
            </w:r>
          </w:p>
        </w:tc>
        <w:tc>
          <w:tcPr>
            <w:tcW w:w="656" w:type="pct"/>
            <w:tcBorders>
              <w:top w:val="nil"/>
              <w:left w:val="nil"/>
              <w:bottom w:val="single" w:sz="4" w:space="0" w:color="auto"/>
              <w:right w:val="single" w:sz="4" w:space="0" w:color="auto"/>
            </w:tcBorders>
            <w:shd w:val="clear" w:color="auto" w:fill="auto"/>
            <w:noWrap/>
            <w:vAlign w:val="bottom"/>
            <w:hideMark/>
          </w:tcPr>
          <w:p w14:paraId="5F9B5BB0" w14:textId="20E61DEC" w:rsidR="009F43E0" w:rsidRPr="00932601" w:rsidRDefault="00933A09" w:rsidP="00F545BB">
            <w:pPr>
              <w:spacing w:after="0" w:line="240" w:lineRule="auto"/>
              <w:rPr>
                <w:rFonts w:eastAsia="Times New Roman" w:cs="Arial"/>
                <w:color w:val="000000"/>
                <w:kern w:val="0"/>
                <w:szCs w:val="20"/>
                <w:lang w:eastAsia="sl-SI"/>
                <w14:ligatures w14:val="none"/>
              </w:rPr>
            </w:pPr>
            <w:r w:rsidRPr="00933A09">
              <w:rPr>
                <w:rFonts w:eastAsia="Times New Roman" w:cs="Arial"/>
                <w:color w:val="000000"/>
                <w:kern w:val="0"/>
                <w:szCs w:val="20"/>
                <w:lang w:eastAsia="sl-SI"/>
                <w14:ligatures w14:val="none"/>
              </w:rPr>
              <w:t>779.257,00</w:t>
            </w:r>
          </w:p>
        </w:tc>
        <w:tc>
          <w:tcPr>
            <w:tcW w:w="606" w:type="pct"/>
            <w:tcBorders>
              <w:top w:val="nil"/>
              <w:left w:val="nil"/>
              <w:bottom w:val="single" w:sz="4" w:space="0" w:color="auto"/>
              <w:right w:val="single" w:sz="4" w:space="0" w:color="auto"/>
            </w:tcBorders>
            <w:shd w:val="clear" w:color="auto" w:fill="auto"/>
            <w:noWrap/>
            <w:vAlign w:val="bottom"/>
            <w:hideMark/>
          </w:tcPr>
          <w:p w14:paraId="66195EBA" w14:textId="4AC77D32" w:rsidR="009F43E0" w:rsidRPr="00932601" w:rsidRDefault="00933A09"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uporabniki/leto</w:t>
            </w:r>
          </w:p>
        </w:tc>
        <w:tc>
          <w:tcPr>
            <w:tcW w:w="850" w:type="pct"/>
            <w:tcBorders>
              <w:top w:val="nil"/>
              <w:left w:val="nil"/>
              <w:bottom w:val="single" w:sz="4" w:space="0" w:color="auto"/>
              <w:right w:val="single" w:sz="4" w:space="0" w:color="auto"/>
            </w:tcBorders>
            <w:shd w:val="clear" w:color="auto" w:fill="auto"/>
            <w:noWrap/>
            <w:vAlign w:val="bottom"/>
            <w:hideMark/>
          </w:tcPr>
          <w:p w14:paraId="76540612" w14:textId="235C93FD" w:rsidR="009F43E0" w:rsidRPr="00932601" w:rsidRDefault="00933A09"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743.746,00</w:t>
            </w:r>
          </w:p>
        </w:tc>
      </w:tr>
    </w:tbl>
    <w:p w14:paraId="561F923D" w14:textId="77777777" w:rsidR="009F43E0" w:rsidRDefault="009F43E0" w:rsidP="001A2407">
      <w:pPr>
        <w:spacing w:after="0"/>
      </w:pPr>
    </w:p>
    <w:p w14:paraId="64EC85A7" w14:textId="7583C786" w:rsidR="00C54560" w:rsidRDefault="00C54560" w:rsidP="001A2407">
      <w:pPr>
        <w:pStyle w:val="Naslov2"/>
        <w:numPr>
          <w:ilvl w:val="1"/>
          <w:numId w:val="23"/>
        </w:numPr>
        <w:spacing w:before="0"/>
      </w:pPr>
      <w:bookmarkStart w:id="22" w:name="_Toc191383849"/>
      <w:r>
        <w:t xml:space="preserve">Predlog spremembe zaradi STEP na RSO 1.4. </w:t>
      </w:r>
      <w:r w:rsidRPr="00C54560">
        <w:t>Razvoj znanj in spretnosti za pametno specializacijo, industrijski prehod in podjetništvo (ESRR</w:t>
      </w:r>
      <w:r>
        <w:t>)</w:t>
      </w:r>
      <w:bookmarkEnd w:id="22"/>
    </w:p>
    <w:p w14:paraId="60D037E0" w14:textId="77777777" w:rsidR="00C54560" w:rsidRDefault="00C54560" w:rsidP="001A2407">
      <w:pPr>
        <w:spacing w:after="0"/>
      </w:pPr>
    </w:p>
    <w:p w14:paraId="2EFC6EE8" w14:textId="2D52CA8F" w:rsidR="00C54560" w:rsidRDefault="00C54560" w:rsidP="00380B14">
      <w:pPr>
        <w:spacing w:after="0"/>
        <w:jc w:val="both"/>
      </w:pPr>
      <w:r>
        <w:t>Za namene STEP se predlaga znižanje sredstev in posledično sprememba kazalnikov v okviru ukrepov »</w:t>
      </w:r>
      <w:r w:rsidRPr="00C54560">
        <w:t>Kompetenčni centri</w:t>
      </w:r>
      <w:r>
        <w:t>« in »</w:t>
      </w:r>
      <w:r w:rsidRPr="00C54560">
        <w:t>Krepitev znanj in spretnosti sistemskih izvajalcev pametne specializacije</w:t>
      </w:r>
      <w:r>
        <w:t>« kot je prikazano v spodnjih tabelah:</w:t>
      </w:r>
    </w:p>
    <w:p w14:paraId="4EBB581C" w14:textId="77777777" w:rsidR="00380B14" w:rsidRDefault="00380B14" w:rsidP="00380B14">
      <w:pPr>
        <w:spacing w:after="0"/>
        <w:jc w:val="both"/>
      </w:pPr>
    </w:p>
    <w:p w14:paraId="32454780" w14:textId="33C3763E" w:rsidR="00867332" w:rsidRPr="00814485" w:rsidRDefault="00867332" w:rsidP="00867332">
      <w:pPr>
        <w:pStyle w:val="Napis"/>
        <w:keepNext/>
        <w:spacing w:after="0"/>
        <w:rPr>
          <w:i w:val="0"/>
          <w:iCs w:val="0"/>
          <w:color w:val="auto"/>
          <w:sz w:val="20"/>
          <w:szCs w:val="20"/>
        </w:rPr>
      </w:pPr>
      <w:bookmarkStart w:id="23" w:name="_Toc191459951"/>
      <w:r w:rsidRPr="00814485">
        <w:rPr>
          <w:i w:val="0"/>
          <w:iCs w:val="0"/>
          <w:color w:val="auto"/>
          <w:sz w:val="20"/>
          <w:szCs w:val="20"/>
        </w:rPr>
        <w:t xml:space="preserve">Tabela </w:t>
      </w:r>
      <w:r w:rsidRPr="00814485">
        <w:rPr>
          <w:i w:val="0"/>
          <w:iCs w:val="0"/>
          <w:color w:val="auto"/>
          <w:sz w:val="20"/>
          <w:szCs w:val="20"/>
        </w:rPr>
        <w:fldChar w:fldCharType="begin"/>
      </w:r>
      <w:r w:rsidRPr="00814485">
        <w:rPr>
          <w:i w:val="0"/>
          <w:iCs w:val="0"/>
          <w:color w:val="auto"/>
          <w:sz w:val="20"/>
          <w:szCs w:val="20"/>
        </w:rPr>
        <w:instrText xml:space="preserve"> SEQ Tabela \* ARABIC </w:instrText>
      </w:r>
      <w:r w:rsidRPr="00814485">
        <w:rPr>
          <w:i w:val="0"/>
          <w:iCs w:val="0"/>
          <w:color w:val="auto"/>
          <w:sz w:val="20"/>
          <w:szCs w:val="20"/>
        </w:rPr>
        <w:fldChar w:fldCharType="separate"/>
      </w:r>
      <w:r w:rsidR="00784805">
        <w:rPr>
          <w:i w:val="0"/>
          <w:iCs w:val="0"/>
          <w:noProof/>
          <w:color w:val="auto"/>
          <w:sz w:val="20"/>
          <w:szCs w:val="20"/>
        </w:rPr>
        <w:t>7</w:t>
      </w:r>
      <w:r w:rsidRPr="00814485">
        <w:rPr>
          <w:i w:val="0"/>
          <w:iCs w:val="0"/>
          <w:color w:val="auto"/>
          <w:sz w:val="20"/>
          <w:szCs w:val="20"/>
        </w:rPr>
        <w:fldChar w:fldCharType="end"/>
      </w:r>
      <w:r w:rsidRPr="00814485">
        <w:rPr>
          <w:i w:val="0"/>
          <w:iCs w:val="0"/>
          <w:color w:val="auto"/>
          <w:sz w:val="20"/>
          <w:szCs w:val="20"/>
        </w:rPr>
        <w:t>: Predlagano znižanje sredstev se odrazi v delu »Tabela 4: Razsežnost 1 – področje ukrepanja«</w:t>
      </w:r>
      <w:bookmarkEnd w:id="23"/>
    </w:p>
    <w:p w14:paraId="70B164A2" w14:textId="77777777" w:rsidR="00867332" w:rsidRPr="00867332" w:rsidRDefault="00867332" w:rsidP="00867332">
      <w:pPr>
        <w:spacing w:after="0"/>
      </w:pPr>
    </w:p>
    <w:tbl>
      <w:tblPr>
        <w:tblStyle w:val="Tabelamrea1"/>
        <w:tblW w:w="9351" w:type="dxa"/>
        <w:jc w:val="center"/>
        <w:tblLook w:val="04A0" w:firstRow="1" w:lastRow="0" w:firstColumn="1" w:lastColumn="0" w:noHBand="0" w:noVBand="1"/>
      </w:tblPr>
      <w:tblGrid>
        <w:gridCol w:w="772"/>
        <w:gridCol w:w="1117"/>
        <w:gridCol w:w="2693"/>
        <w:gridCol w:w="1562"/>
        <w:gridCol w:w="2345"/>
        <w:gridCol w:w="1384"/>
      </w:tblGrid>
      <w:tr w:rsidR="007E11BA" w:rsidRPr="00932601" w14:paraId="06939562" w14:textId="77777777" w:rsidTr="00443178">
        <w:trPr>
          <w:trHeight w:val="300"/>
          <w:jc w:val="center"/>
        </w:trPr>
        <w:tc>
          <w:tcPr>
            <w:tcW w:w="772" w:type="dxa"/>
            <w:shd w:val="clear" w:color="auto" w:fill="D9E2F3" w:themeFill="accent1" w:themeFillTint="33"/>
            <w:noWrap/>
            <w:hideMark/>
          </w:tcPr>
          <w:p w14:paraId="61DBFC00" w14:textId="77777777" w:rsidR="007E11BA" w:rsidRPr="00932601" w:rsidRDefault="007E11BA" w:rsidP="00FE5518">
            <w:pPr>
              <w:rPr>
                <w:rFonts w:eastAsia="Times New Roman" w:cs="Arial"/>
                <w:color w:val="000000"/>
              </w:rPr>
            </w:pPr>
            <w:r w:rsidRPr="00932601">
              <w:rPr>
                <w:rFonts w:eastAsia="Times New Roman" w:cs="Arial"/>
                <w:color w:val="000000"/>
              </w:rPr>
              <w:t>Sklad</w:t>
            </w:r>
          </w:p>
        </w:tc>
        <w:tc>
          <w:tcPr>
            <w:tcW w:w="1117" w:type="dxa"/>
            <w:shd w:val="clear" w:color="auto" w:fill="D9E2F3" w:themeFill="accent1" w:themeFillTint="33"/>
            <w:noWrap/>
            <w:hideMark/>
          </w:tcPr>
          <w:p w14:paraId="4F5F68D6" w14:textId="77777777" w:rsidR="007E11BA" w:rsidRPr="00932601" w:rsidRDefault="007E11BA" w:rsidP="00FE5518">
            <w:pPr>
              <w:rPr>
                <w:rFonts w:eastAsia="Times New Roman" w:cs="Arial"/>
                <w:color w:val="000000"/>
              </w:rPr>
            </w:pPr>
            <w:r w:rsidRPr="00932601">
              <w:rPr>
                <w:rFonts w:eastAsia="Times New Roman" w:cs="Arial"/>
                <w:color w:val="000000"/>
              </w:rPr>
              <w:t>Kategorija regije</w:t>
            </w:r>
          </w:p>
        </w:tc>
        <w:tc>
          <w:tcPr>
            <w:tcW w:w="2693" w:type="dxa"/>
            <w:shd w:val="clear" w:color="auto" w:fill="D9E2F3" w:themeFill="accent1" w:themeFillTint="33"/>
            <w:noWrap/>
            <w:hideMark/>
          </w:tcPr>
          <w:p w14:paraId="1A45B59B" w14:textId="77777777" w:rsidR="007E11BA" w:rsidRPr="00932601" w:rsidRDefault="007E11BA" w:rsidP="00FE5518">
            <w:pPr>
              <w:rPr>
                <w:rFonts w:eastAsia="Times New Roman" w:cs="Arial"/>
                <w:color w:val="000000"/>
              </w:rPr>
            </w:pPr>
            <w:r w:rsidRPr="00932601">
              <w:rPr>
                <w:rFonts w:eastAsia="Times New Roman" w:cs="Arial"/>
                <w:color w:val="000000"/>
              </w:rPr>
              <w:t>Oznaka</w:t>
            </w:r>
          </w:p>
        </w:tc>
        <w:tc>
          <w:tcPr>
            <w:tcW w:w="1562" w:type="dxa"/>
            <w:shd w:val="clear" w:color="auto" w:fill="D9E2F3" w:themeFill="accent1" w:themeFillTint="33"/>
            <w:noWrap/>
            <w:hideMark/>
          </w:tcPr>
          <w:p w14:paraId="7F54C94E" w14:textId="77777777" w:rsidR="007E11BA" w:rsidRPr="00932601" w:rsidRDefault="007E11BA" w:rsidP="00FE5518">
            <w:pPr>
              <w:rPr>
                <w:rFonts w:eastAsia="Times New Roman" w:cs="Arial"/>
                <w:color w:val="000000"/>
              </w:rPr>
            </w:pPr>
            <w:r w:rsidRPr="00932601">
              <w:rPr>
                <w:rFonts w:eastAsia="Times New Roman" w:cs="Arial"/>
                <w:color w:val="000000"/>
              </w:rPr>
              <w:t>Znesek</w:t>
            </w:r>
          </w:p>
        </w:tc>
        <w:tc>
          <w:tcPr>
            <w:tcW w:w="2345" w:type="dxa"/>
            <w:shd w:val="clear" w:color="auto" w:fill="D9E2F3" w:themeFill="accent1" w:themeFillTint="33"/>
            <w:noWrap/>
            <w:hideMark/>
          </w:tcPr>
          <w:p w14:paraId="72BBB8E8" w14:textId="77777777" w:rsidR="007E11BA" w:rsidRPr="00932601" w:rsidRDefault="007E11BA" w:rsidP="00FE5518">
            <w:pPr>
              <w:rPr>
                <w:rFonts w:eastAsia="Times New Roman" w:cs="Arial"/>
                <w:color w:val="000000"/>
              </w:rPr>
            </w:pPr>
            <w:r w:rsidRPr="00932601">
              <w:rPr>
                <w:rFonts w:eastAsia="Times New Roman" w:cs="Arial"/>
                <w:color w:val="000000"/>
              </w:rPr>
              <w:t>Predlagana sprememba</w:t>
            </w:r>
          </w:p>
        </w:tc>
        <w:tc>
          <w:tcPr>
            <w:tcW w:w="862" w:type="dxa"/>
            <w:shd w:val="clear" w:color="auto" w:fill="D9E2F3" w:themeFill="accent1" w:themeFillTint="33"/>
            <w:noWrap/>
            <w:hideMark/>
          </w:tcPr>
          <w:p w14:paraId="26B19AFD" w14:textId="0A585A69" w:rsidR="007E11BA" w:rsidRPr="00932601" w:rsidRDefault="007E11BA" w:rsidP="00FE5518">
            <w:pPr>
              <w:rPr>
                <w:rFonts w:eastAsia="Times New Roman" w:cs="Arial"/>
                <w:color w:val="000000"/>
              </w:rPr>
            </w:pPr>
            <w:r>
              <w:rPr>
                <w:rFonts w:eastAsia="Times New Roman" w:cs="Arial"/>
                <w:color w:val="000000"/>
              </w:rPr>
              <w:t>Spremenjen znesek</w:t>
            </w:r>
          </w:p>
        </w:tc>
      </w:tr>
      <w:tr w:rsidR="007E11BA" w:rsidRPr="00FF23F3" w14:paraId="6EB0875F" w14:textId="77777777" w:rsidTr="00443178">
        <w:trPr>
          <w:trHeight w:val="300"/>
          <w:jc w:val="center"/>
        </w:trPr>
        <w:tc>
          <w:tcPr>
            <w:tcW w:w="772" w:type="dxa"/>
            <w:noWrap/>
          </w:tcPr>
          <w:p w14:paraId="66D6904A" w14:textId="77777777" w:rsidR="007E11BA" w:rsidRPr="00932601" w:rsidRDefault="007E11BA" w:rsidP="00F545BB">
            <w:pPr>
              <w:rPr>
                <w:rFonts w:eastAsia="Times New Roman" w:cs="Arial"/>
                <w:color w:val="000000"/>
              </w:rPr>
            </w:pPr>
            <w:r>
              <w:rPr>
                <w:rFonts w:eastAsia="Times New Roman" w:cs="Arial"/>
                <w:color w:val="000000"/>
              </w:rPr>
              <w:t>ESRR</w:t>
            </w:r>
          </w:p>
        </w:tc>
        <w:tc>
          <w:tcPr>
            <w:tcW w:w="1117" w:type="dxa"/>
            <w:noWrap/>
          </w:tcPr>
          <w:p w14:paraId="506A4FDB" w14:textId="77777777" w:rsidR="007E11BA" w:rsidRPr="00932601" w:rsidRDefault="007E11BA" w:rsidP="00E46C20">
            <w:pPr>
              <w:jc w:val="both"/>
              <w:rPr>
                <w:rFonts w:eastAsia="Times New Roman" w:cs="Arial"/>
                <w:color w:val="000000"/>
              </w:rPr>
            </w:pPr>
            <w:r>
              <w:rPr>
                <w:rFonts w:eastAsia="Times New Roman" w:cs="Arial"/>
                <w:color w:val="000000"/>
              </w:rPr>
              <w:t>Manj razvite regije</w:t>
            </w:r>
          </w:p>
        </w:tc>
        <w:tc>
          <w:tcPr>
            <w:tcW w:w="2693" w:type="dxa"/>
            <w:noWrap/>
          </w:tcPr>
          <w:p w14:paraId="198670C2" w14:textId="77777777" w:rsidR="007E11BA" w:rsidRPr="00FF23F3" w:rsidRDefault="007E11BA" w:rsidP="00867332">
            <w:pPr>
              <w:jc w:val="both"/>
              <w:rPr>
                <w:rFonts w:eastAsia="Times New Roman" w:cs="Arial"/>
                <w:color w:val="000000"/>
                <w:highlight w:val="yellow"/>
              </w:rPr>
            </w:pPr>
            <w:r>
              <w:rPr>
                <w:color w:val="000000"/>
              </w:rPr>
              <w:t>023. Razvoj znanj in spretnosti za pametno specializacijo, industrijski prehod, podjetništvo in prilagodljivost podjetij na spremembe</w:t>
            </w:r>
          </w:p>
        </w:tc>
        <w:tc>
          <w:tcPr>
            <w:tcW w:w="1562" w:type="dxa"/>
            <w:noWrap/>
          </w:tcPr>
          <w:p w14:paraId="55A0810A" w14:textId="77777777" w:rsidR="007E11BA" w:rsidRPr="00FF23F3" w:rsidRDefault="007E11BA" w:rsidP="00F545BB">
            <w:pPr>
              <w:rPr>
                <w:rFonts w:eastAsia="Times New Roman" w:cs="Arial"/>
                <w:color w:val="000000"/>
                <w:highlight w:val="yellow"/>
              </w:rPr>
            </w:pPr>
            <w:r>
              <w:rPr>
                <w:color w:val="000000"/>
              </w:rPr>
              <w:t>13.220.200,00</w:t>
            </w:r>
          </w:p>
        </w:tc>
        <w:tc>
          <w:tcPr>
            <w:tcW w:w="2345" w:type="dxa"/>
            <w:noWrap/>
          </w:tcPr>
          <w:p w14:paraId="0983502D" w14:textId="77777777" w:rsidR="007E11BA" w:rsidRPr="00932601" w:rsidRDefault="007E11BA" w:rsidP="00F545BB">
            <w:pPr>
              <w:rPr>
                <w:rFonts w:eastAsia="Times New Roman" w:cs="Arial"/>
                <w:color w:val="000000"/>
              </w:rPr>
            </w:pPr>
            <w:r>
              <w:rPr>
                <w:rFonts w:eastAsia="Times New Roman" w:cs="Arial"/>
                <w:color w:val="000000"/>
              </w:rPr>
              <w:t>7.053.256,00</w:t>
            </w:r>
          </w:p>
        </w:tc>
        <w:tc>
          <w:tcPr>
            <w:tcW w:w="862" w:type="dxa"/>
            <w:noWrap/>
          </w:tcPr>
          <w:p w14:paraId="0DA78546" w14:textId="77777777" w:rsidR="007E11BA" w:rsidRPr="00FF23F3" w:rsidRDefault="007E11BA" w:rsidP="00F545BB">
            <w:pPr>
              <w:rPr>
                <w:rFonts w:eastAsia="Times New Roman" w:cs="Arial"/>
                <w:color w:val="000000"/>
                <w:highlight w:val="yellow"/>
              </w:rPr>
            </w:pPr>
            <w:r w:rsidRPr="00FF23F3">
              <w:rPr>
                <w:rFonts w:eastAsia="Times New Roman" w:cs="Arial"/>
                <w:color w:val="000000"/>
              </w:rPr>
              <w:t>6.166.944,00</w:t>
            </w:r>
          </w:p>
        </w:tc>
      </w:tr>
      <w:tr w:rsidR="007E11BA" w:rsidRPr="00FF23F3" w14:paraId="38F8A023" w14:textId="77777777" w:rsidTr="00443178">
        <w:trPr>
          <w:trHeight w:val="300"/>
          <w:jc w:val="center"/>
        </w:trPr>
        <w:tc>
          <w:tcPr>
            <w:tcW w:w="772" w:type="dxa"/>
            <w:noWrap/>
          </w:tcPr>
          <w:p w14:paraId="05464984" w14:textId="77777777" w:rsidR="007E11BA" w:rsidRDefault="007E11BA" w:rsidP="00F545BB">
            <w:pPr>
              <w:rPr>
                <w:rFonts w:eastAsia="Times New Roman" w:cs="Arial"/>
                <w:color w:val="000000"/>
              </w:rPr>
            </w:pPr>
            <w:r w:rsidRPr="00932601">
              <w:rPr>
                <w:rFonts w:eastAsia="Times New Roman" w:cs="Arial"/>
                <w:color w:val="000000"/>
              </w:rPr>
              <w:t>ESRR</w:t>
            </w:r>
          </w:p>
        </w:tc>
        <w:tc>
          <w:tcPr>
            <w:tcW w:w="1117" w:type="dxa"/>
            <w:noWrap/>
          </w:tcPr>
          <w:p w14:paraId="747F061F" w14:textId="77777777" w:rsidR="007E11BA" w:rsidRDefault="007E11BA" w:rsidP="00F545BB">
            <w:pPr>
              <w:rPr>
                <w:rFonts w:eastAsia="Times New Roman" w:cs="Arial"/>
                <w:color w:val="000000"/>
              </w:rPr>
            </w:pPr>
            <w:r w:rsidRPr="00932601">
              <w:rPr>
                <w:rFonts w:eastAsia="Times New Roman" w:cs="Arial"/>
                <w:color w:val="000000"/>
              </w:rPr>
              <w:t>Bolj razvite regije</w:t>
            </w:r>
          </w:p>
        </w:tc>
        <w:tc>
          <w:tcPr>
            <w:tcW w:w="2693" w:type="dxa"/>
            <w:noWrap/>
          </w:tcPr>
          <w:p w14:paraId="481AC3CE" w14:textId="77777777" w:rsidR="007E11BA" w:rsidRPr="00FF23F3" w:rsidRDefault="007E11BA" w:rsidP="00867332">
            <w:pPr>
              <w:jc w:val="both"/>
              <w:rPr>
                <w:rFonts w:eastAsia="Times New Roman" w:cs="Arial"/>
                <w:color w:val="000000"/>
                <w:highlight w:val="yellow"/>
              </w:rPr>
            </w:pPr>
            <w:r>
              <w:rPr>
                <w:color w:val="000000"/>
              </w:rPr>
              <w:t>023. Razvoj znanj in spretnosti za pametno specializacijo, industrijski prehod, podjetništvo in prilagodljivost podjetij na spremembe</w:t>
            </w:r>
          </w:p>
        </w:tc>
        <w:tc>
          <w:tcPr>
            <w:tcW w:w="1562" w:type="dxa"/>
            <w:noWrap/>
          </w:tcPr>
          <w:p w14:paraId="45D68915" w14:textId="77777777" w:rsidR="007E11BA" w:rsidRPr="00FF23F3" w:rsidRDefault="007E11BA" w:rsidP="00F545BB">
            <w:pPr>
              <w:rPr>
                <w:rFonts w:eastAsia="Times New Roman" w:cs="Arial"/>
                <w:color w:val="000000"/>
                <w:highlight w:val="yellow"/>
              </w:rPr>
            </w:pPr>
            <w:r>
              <w:rPr>
                <w:color w:val="000000"/>
              </w:rPr>
              <w:t>4.709.900,00</w:t>
            </w:r>
          </w:p>
        </w:tc>
        <w:tc>
          <w:tcPr>
            <w:tcW w:w="2345" w:type="dxa"/>
            <w:noWrap/>
          </w:tcPr>
          <w:p w14:paraId="5255BCE6" w14:textId="77777777" w:rsidR="007E11BA" w:rsidRDefault="007E11BA" w:rsidP="00F545BB">
            <w:pPr>
              <w:rPr>
                <w:rFonts w:eastAsia="Times New Roman" w:cs="Arial"/>
                <w:color w:val="000000"/>
              </w:rPr>
            </w:pPr>
            <w:r>
              <w:rPr>
                <w:rFonts w:eastAsia="Times New Roman" w:cs="Arial"/>
                <w:color w:val="000000"/>
              </w:rPr>
              <w:t>2.180.177,00</w:t>
            </w:r>
          </w:p>
        </w:tc>
        <w:tc>
          <w:tcPr>
            <w:tcW w:w="862" w:type="dxa"/>
            <w:noWrap/>
          </w:tcPr>
          <w:p w14:paraId="3E3CAE54" w14:textId="405E79B0" w:rsidR="007E11BA" w:rsidRPr="00FF23F3" w:rsidRDefault="3F6AAE05" w:rsidP="00F545BB">
            <w:pPr>
              <w:rPr>
                <w:rFonts w:eastAsia="Times New Roman" w:cs="Arial"/>
                <w:color w:val="000000"/>
                <w:highlight w:val="yellow"/>
              </w:rPr>
            </w:pPr>
            <w:r w:rsidRPr="5CD783C1">
              <w:rPr>
                <w:rFonts w:eastAsia="Times New Roman" w:cs="Arial"/>
                <w:color w:val="000000" w:themeColor="text1"/>
              </w:rPr>
              <w:t>2.529</w:t>
            </w:r>
            <w:r w:rsidR="112E9E51" w:rsidRPr="5CD783C1">
              <w:rPr>
                <w:rFonts w:eastAsia="Times New Roman" w:cs="Arial"/>
                <w:color w:val="000000" w:themeColor="text1"/>
              </w:rPr>
              <w:t>.</w:t>
            </w:r>
            <w:r w:rsidRPr="5CD783C1">
              <w:rPr>
                <w:rFonts w:eastAsia="Times New Roman" w:cs="Arial"/>
                <w:color w:val="000000" w:themeColor="text1"/>
              </w:rPr>
              <w:t>723,00</w:t>
            </w:r>
          </w:p>
        </w:tc>
      </w:tr>
    </w:tbl>
    <w:p w14:paraId="289B65FE" w14:textId="77777777" w:rsidR="00867332" w:rsidRDefault="00867332" w:rsidP="001A2407">
      <w:pPr>
        <w:spacing w:after="0"/>
      </w:pPr>
    </w:p>
    <w:p w14:paraId="66B39C8B" w14:textId="402130C8" w:rsidR="00867332" w:rsidRPr="00322F73" w:rsidRDefault="00867332" w:rsidP="00867332">
      <w:pPr>
        <w:pStyle w:val="Napis"/>
        <w:keepNext/>
        <w:spacing w:after="0"/>
        <w:jc w:val="both"/>
        <w:rPr>
          <w:i w:val="0"/>
          <w:iCs w:val="0"/>
          <w:color w:val="auto"/>
          <w:sz w:val="20"/>
          <w:szCs w:val="20"/>
        </w:rPr>
      </w:pPr>
      <w:bookmarkStart w:id="24" w:name="_Toc191459952"/>
      <w:r w:rsidRPr="00322F73">
        <w:rPr>
          <w:i w:val="0"/>
          <w:iCs w:val="0"/>
          <w:color w:val="auto"/>
          <w:sz w:val="20"/>
          <w:szCs w:val="20"/>
        </w:rPr>
        <w:t xml:space="preserve">Tabela </w:t>
      </w:r>
      <w:r w:rsidRPr="00322F73">
        <w:rPr>
          <w:i w:val="0"/>
          <w:iCs w:val="0"/>
          <w:color w:val="auto"/>
          <w:sz w:val="20"/>
          <w:szCs w:val="20"/>
        </w:rPr>
        <w:fldChar w:fldCharType="begin"/>
      </w:r>
      <w:r w:rsidRPr="00322F73">
        <w:rPr>
          <w:i w:val="0"/>
          <w:iCs w:val="0"/>
          <w:color w:val="auto"/>
          <w:sz w:val="20"/>
          <w:szCs w:val="20"/>
        </w:rPr>
        <w:instrText xml:space="preserve"> SEQ Tabela \* ARABIC </w:instrText>
      </w:r>
      <w:r w:rsidRPr="00322F73">
        <w:rPr>
          <w:i w:val="0"/>
          <w:iCs w:val="0"/>
          <w:color w:val="auto"/>
          <w:sz w:val="20"/>
          <w:szCs w:val="20"/>
        </w:rPr>
        <w:fldChar w:fldCharType="separate"/>
      </w:r>
      <w:r w:rsidR="00784805">
        <w:rPr>
          <w:i w:val="0"/>
          <w:iCs w:val="0"/>
          <w:noProof/>
          <w:color w:val="auto"/>
          <w:sz w:val="20"/>
          <w:szCs w:val="20"/>
        </w:rPr>
        <w:t>8</w:t>
      </w:r>
      <w:r w:rsidRPr="00322F73">
        <w:rPr>
          <w:i w:val="0"/>
          <w:iCs w:val="0"/>
          <w:color w:val="auto"/>
          <w:sz w:val="20"/>
          <w:szCs w:val="20"/>
        </w:rPr>
        <w:fldChar w:fldCharType="end"/>
      </w:r>
      <w:r w:rsidRPr="00322F73">
        <w:rPr>
          <w:i w:val="0"/>
          <w:iCs w:val="0"/>
          <w:color w:val="auto"/>
          <w:sz w:val="20"/>
          <w:szCs w:val="20"/>
        </w:rPr>
        <w:t>: Predlagano znižanje kazalnikov učinka in kazalnikov rezultata</w:t>
      </w:r>
      <w:bookmarkEnd w:id="24"/>
    </w:p>
    <w:p w14:paraId="0FF7F17F" w14:textId="77777777" w:rsidR="00867332" w:rsidRPr="00867332" w:rsidRDefault="00867332" w:rsidP="00867332">
      <w:pPr>
        <w:spacing w:after="0"/>
      </w:pPr>
    </w:p>
    <w:tbl>
      <w:tblPr>
        <w:tblStyle w:val="Tabelamrea2"/>
        <w:tblW w:w="9956" w:type="dxa"/>
        <w:jc w:val="center"/>
        <w:tblLook w:val="04A0" w:firstRow="1" w:lastRow="0" w:firstColumn="1" w:lastColumn="0" w:noHBand="0" w:noVBand="1"/>
      </w:tblPr>
      <w:tblGrid>
        <w:gridCol w:w="1117"/>
        <w:gridCol w:w="1276"/>
        <w:gridCol w:w="3876"/>
        <w:gridCol w:w="1134"/>
        <w:gridCol w:w="1418"/>
        <w:gridCol w:w="1272"/>
      </w:tblGrid>
      <w:tr w:rsidR="007E11BA" w:rsidRPr="001D2761" w14:paraId="3539E3D7" w14:textId="77777777" w:rsidTr="00443178">
        <w:trPr>
          <w:trHeight w:val="672"/>
          <w:jc w:val="center"/>
        </w:trPr>
        <w:tc>
          <w:tcPr>
            <w:tcW w:w="980" w:type="dxa"/>
            <w:shd w:val="clear" w:color="auto" w:fill="D9E2F3" w:themeFill="accent1" w:themeFillTint="33"/>
            <w:noWrap/>
            <w:hideMark/>
          </w:tcPr>
          <w:p w14:paraId="07C492C4" w14:textId="77777777" w:rsidR="007E11BA" w:rsidRPr="009E5A3A" w:rsidRDefault="007E11BA" w:rsidP="00F545BB">
            <w:pPr>
              <w:rPr>
                <w:rFonts w:eastAsia="Times New Roman" w:cs="Arial"/>
                <w:color w:val="000000"/>
              </w:rPr>
            </w:pPr>
            <w:r w:rsidRPr="009E5A3A">
              <w:rPr>
                <w:rFonts w:eastAsia="Times New Roman" w:cs="Arial"/>
                <w:color w:val="000000"/>
              </w:rPr>
              <w:t>Kategorija regije</w:t>
            </w:r>
          </w:p>
        </w:tc>
        <w:tc>
          <w:tcPr>
            <w:tcW w:w="1276" w:type="dxa"/>
            <w:shd w:val="clear" w:color="auto" w:fill="D9E2F3" w:themeFill="accent1" w:themeFillTint="33"/>
            <w:noWrap/>
            <w:hideMark/>
          </w:tcPr>
          <w:p w14:paraId="1B3F28E5" w14:textId="77777777" w:rsidR="007E11BA" w:rsidRPr="009E5A3A" w:rsidRDefault="007E11BA" w:rsidP="00F545BB">
            <w:pPr>
              <w:rPr>
                <w:rFonts w:eastAsia="Times New Roman" w:cs="Arial"/>
                <w:color w:val="000000"/>
              </w:rPr>
            </w:pPr>
            <w:r w:rsidRPr="009E5A3A">
              <w:rPr>
                <w:rFonts w:eastAsia="Times New Roman" w:cs="Arial"/>
                <w:color w:val="000000"/>
              </w:rPr>
              <w:t>Identifikator</w:t>
            </w:r>
          </w:p>
        </w:tc>
        <w:tc>
          <w:tcPr>
            <w:tcW w:w="3876" w:type="dxa"/>
            <w:shd w:val="clear" w:color="auto" w:fill="D9E2F3" w:themeFill="accent1" w:themeFillTint="33"/>
            <w:noWrap/>
            <w:hideMark/>
          </w:tcPr>
          <w:p w14:paraId="61109BCD" w14:textId="77777777" w:rsidR="007E11BA" w:rsidRPr="009E5A3A" w:rsidRDefault="007E11BA" w:rsidP="00F545BB">
            <w:pPr>
              <w:rPr>
                <w:rFonts w:eastAsia="Times New Roman" w:cs="Arial"/>
                <w:color w:val="000000"/>
              </w:rPr>
            </w:pPr>
            <w:r w:rsidRPr="009E5A3A">
              <w:rPr>
                <w:rFonts w:eastAsia="Times New Roman" w:cs="Arial"/>
                <w:color w:val="000000"/>
              </w:rPr>
              <w:t>Kazalnik</w:t>
            </w:r>
          </w:p>
        </w:tc>
        <w:tc>
          <w:tcPr>
            <w:tcW w:w="1134" w:type="dxa"/>
            <w:shd w:val="clear" w:color="auto" w:fill="D9E2F3" w:themeFill="accent1" w:themeFillTint="33"/>
            <w:noWrap/>
            <w:hideMark/>
          </w:tcPr>
          <w:p w14:paraId="5535F3AB" w14:textId="77777777" w:rsidR="007E11BA" w:rsidRPr="009E5A3A" w:rsidRDefault="007E11BA" w:rsidP="00F545BB">
            <w:pPr>
              <w:rPr>
                <w:rFonts w:eastAsia="Times New Roman" w:cs="Arial"/>
                <w:color w:val="000000"/>
              </w:rPr>
            </w:pPr>
            <w:r w:rsidRPr="009E5A3A">
              <w:rPr>
                <w:rFonts w:eastAsia="Times New Roman" w:cs="Arial"/>
                <w:color w:val="000000"/>
              </w:rPr>
              <w:t>Cilj (2029)</w:t>
            </w:r>
          </w:p>
        </w:tc>
        <w:tc>
          <w:tcPr>
            <w:tcW w:w="1418" w:type="dxa"/>
            <w:shd w:val="clear" w:color="auto" w:fill="D9E2F3" w:themeFill="accent1" w:themeFillTint="33"/>
            <w:noWrap/>
            <w:hideMark/>
          </w:tcPr>
          <w:p w14:paraId="11D1CC0D" w14:textId="77777777" w:rsidR="007E11BA" w:rsidRPr="009E5A3A" w:rsidRDefault="007E11BA" w:rsidP="00F545BB">
            <w:pPr>
              <w:rPr>
                <w:rFonts w:eastAsia="Times New Roman" w:cs="Arial"/>
                <w:color w:val="000000"/>
              </w:rPr>
            </w:pPr>
            <w:r w:rsidRPr="009E5A3A">
              <w:rPr>
                <w:rFonts w:eastAsia="Times New Roman" w:cs="Arial"/>
                <w:color w:val="000000"/>
              </w:rPr>
              <w:t>Merska enota</w:t>
            </w:r>
          </w:p>
        </w:tc>
        <w:tc>
          <w:tcPr>
            <w:tcW w:w="1272" w:type="dxa"/>
            <w:shd w:val="clear" w:color="auto" w:fill="D9E2F3" w:themeFill="accent1" w:themeFillTint="33"/>
            <w:noWrap/>
            <w:hideMark/>
          </w:tcPr>
          <w:p w14:paraId="388DDBE6" w14:textId="77777777" w:rsidR="007E11BA" w:rsidRPr="009E5A3A" w:rsidRDefault="007E11BA" w:rsidP="00F545BB">
            <w:pPr>
              <w:rPr>
                <w:rFonts w:eastAsia="Times New Roman" w:cs="Arial"/>
                <w:color w:val="000000"/>
              </w:rPr>
            </w:pPr>
            <w:r w:rsidRPr="009E5A3A">
              <w:rPr>
                <w:rFonts w:eastAsia="Times New Roman" w:cs="Arial"/>
                <w:color w:val="000000"/>
              </w:rPr>
              <w:t>Predlagana sprememba Cilj (2029)</w:t>
            </w:r>
          </w:p>
        </w:tc>
      </w:tr>
      <w:tr w:rsidR="007E11BA" w:rsidRPr="001D2761" w14:paraId="703FD327" w14:textId="77777777" w:rsidTr="00443178">
        <w:trPr>
          <w:trHeight w:val="905"/>
          <w:jc w:val="center"/>
        </w:trPr>
        <w:tc>
          <w:tcPr>
            <w:tcW w:w="980" w:type="dxa"/>
            <w:noWrap/>
          </w:tcPr>
          <w:p w14:paraId="08E68E6B" w14:textId="77777777" w:rsidR="007E11BA" w:rsidRPr="00932601" w:rsidRDefault="007E11BA" w:rsidP="00F545BB">
            <w:pPr>
              <w:rPr>
                <w:rFonts w:eastAsia="Times New Roman" w:cs="Arial"/>
                <w:color w:val="000000"/>
              </w:rPr>
            </w:pPr>
            <w:r>
              <w:rPr>
                <w:rFonts w:eastAsia="Times New Roman" w:cs="Arial"/>
                <w:color w:val="000000"/>
              </w:rPr>
              <w:t>Manj razvite regije</w:t>
            </w:r>
          </w:p>
        </w:tc>
        <w:tc>
          <w:tcPr>
            <w:tcW w:w="1276" w:type="dxa"/>
            <w:noWrap/>
          </w:tcPr>
          <w:p w14:paraId="0FF25426" w14:textId="27CD6A47" w:rsidR="007E11BA" w:rsidRPr="00EA66B4" w:rsidRDefault="5F2B7818" w:rsidP="00F545BB">
            <w:pPr>
              <w:rPr>
                <w:rFonts w:eastAsia="Times New Roman" w:cs="Arial"/>
                <w:color w:val="000000"/>
              </w:rPr>
            </w:pPr>
            <w:r w:rsidRPr="10A5102F">
              <w:rPr>
                <w:rFonts w:eastAsia="Times New Roman" w:cs="Arial"/>
                <w:color w:val="000000" w:themeColor="text1"/>
              </w:rPr>
              <w:t>6</w:t>
            </w:r>
          </w:p>
        </w:tc>
        <w:tc>
          <w:tcPr>
            <w:tcW w:w="3876" w:type="dxa"/>
            <w:noWrap/>
          </w:tcPr>
          <w:p w14:paraId="05187E66" w14:textId="77777777" w:rsidR="00A45DED" w:rsidRPr="00FE1A3D" w:rsidRDefault="00A45DED" w:rsidP="00A45DED">
            <w:pPr>
              <w:jc w:val="both"/>
              <w:rPr>
                <w:color w:val="000000"/>
              </w:rPr>
            </w:pPr>
            <w:r w:rsidRPr="00FE1A3D">
              <w:rPr>
                <w:color w:val="000000"/>
              </w:rPr>
              <w:t xml:space="preserve">Deležniki SRIP, ki vlagajo v znanja in spretnosti za pametno specializacijo, </w:t>
            </w:r>
          </w:p>
          <w:p w14:paraId="5E92EEE6" w14:textId="17B5C621" w:rsidR="00106E51" w:rsidRPr="00106E51" w:rsidRDefault="00A45DED" w:rsidP="00A45DED">
            <w:pPr>
              <w:jc w:val="both"/>
              <w:rPr>
                <w:color w:val="000000"/>
              </w:rPr>
            </w:pPr>
            <w:r w:rsidRPr="00FE1A3D">
              <w:rPr>
                <w:color w:val="000000"/>
              </w:rPr>
              <w:t>industrijsko tranzicijo in podjetništvo</w:t>
            </w:r>
          </w:p>
        </w:tc>
        <w:tc>
          <w:tcPr>
            <w:tcW w:w="1134" w:type="dxa"/>
            <w:noWrap/>
          </w:tcPr>
          <w:p w14:paraId="45E3D721" w14:textId="03F6B8B3" w:rsidR="007E11BA" w:rsidRPr="00EA66B4" w:rsidRDefault="0CF917FD" w:rsidP="00F545BB">
            <w:pPr>
              <w:rPr>
                <w:rFonts w:eastAsia="Times New Roman" w:cs="Arial"/>
                <w:color w:val="000000"/>
              </w:rPr>
            </w:pPr>
            <w:r w:rsidRPr="10A5102F">
              <w:rPr>
                <w:rFonts w:eastAsia="Times New Roman" w:cs="Arial"/>
                <w:color w:val="000000" w:themeColor="text1"/>
              </w:rPr>
              <w:t>13</w:t>
            </w:r>
          </w:p>
        </w:tc>
        <w:tc>
          <w:tcPr>
            <w:tcW w:w="1418" w:type="dxa"/>
            <w:noWrap/>
          </w:tcPr>
          <w:p w14:paraId="50C0E434" w14:textId="77777777" w:rsidR="007E11BA" w:rsidRPr="00EA66B4" w:rsidRDefault="007E11BA" w:rsidP="00F545BB">
            <w:pPr>
              <w:rPr>
                <w:rFonts w:eastAsia="Times New Roman" w:cs="Arial"/>
                <w:color w:val="000000"/>
              </w:rPr>
            </w:pPr>
            <w:r w:rsidRPr="00FF23F3">
              <w:rPr>
                <w:rFonts w:eastAsia="Times New Roman" w:cs="Arial"/>
                <w:color w:val="000000"/>
              </w:rPr>
              <w:t>število</w:t>
            </w:r>
          </w:p>
        </w:tc>
        <w:tc>
          <w:tcPr>
            <w:tcW w:w="1272" w:type="dxa"/>
            <w:noWrap/>
          </w:tcPr>
          <w:p w14:paraId="12FF8938" w14:textId="77777777" w:rsidR="007E11BA" w:rsidRPr="00EA66B4" w:rsidRDefault="007E11BA" w:rsidP="00F545BB">
            <w:pPr>
              <w:rPr>
                <w:rFonts w:eastAsia="Times New Roman" w:cs="Arial"/>
                <w:color w:val="000000"/>
              </w:rPr>
            </w:pPr>
            <w:r w:rsidRPr="00FF23F3">
              <w:rPr>
                <w:rFonts w:eastAsia="Times New Roman" w:cs="Arial"/>
                <w:color w:val="000000"/>
              </w:rPr>
              <w:t>0</w:t>
            </w:r>
          </w:p>
        </w:tc>
      </w:tr>
      <w:tr w:rsidR="007E11BA" w:rsidRPr="001D2761" w14:paraId="44D23875" w14:textId="77777777" w:rsidTr="00443178">
        <w:trPr>
          <w:trHeight w:val="300"/>
          <w:jc w:val="center"/>
        </w:trPr>
        <w:tc>
          <w:tcPr>
            <w:tcW w:w="980" w:type="dxa"/>
            <w:noWrap/>
            <w:hideMark/>
          </w:tcPr>
          <w:p w14:paraId="5B9466A5" w14:textId="77777777" w:rsidR="007E11BA" w:rsidRPr="00932601" w:rsidRDefault="007E11BA" w:rsidP="00F545BB">
            <w:pPr>
              <w:rPr>
                <w:rFonts w:eastAsia="Times New Roman" w:cs="Arial"/>
                <w:color w:val="000000"/>
              </w:rPr>
            </w:pPr>
            <w:r w:rsidRPr="00932601">
              <w:rPr>
                <w:rFonts w:eastAsia="Times New Roman" w:cs="Arial"/>
                <w:color w:val="000000"/>
              </w:rPr>
              <w:t>Bolj razvite regije</w:t>
            </w:r>
          </w:p>
        </w:tc>
        <w:tc>
          <w:tcPr>
            <w:tcW w:w="1276" w:type="dxa"/>
            <w:noWrap/>
            <w:hideMark/>
          </w:tcPr>
          <w:p w14:paraId="67329BEF" w14:textId="682C0B05" w:rsidR="007E11BA" w:rsidRPr="00EA66B4" w:rsidRDefault="6575601B" w:rsidP="00F545BB">
            <w:pPr>
              <w:rPr>
                <w:rFonts w:eastAsia="Times New Roman" w:cs="Arial"/>
                <w:color w:val="000000"/>
              </w:rPr>
            </w:pPr>
            <w:r w:rsidRPr="10A5102F">
              <w:rPr>
                <w:rFonts w:eastAsia="Times New Roman" w:cs="Arial"/>
                <w:color w:val="000000" w:themeColor="text1"/>
              </w:rPr>
              <w:t>6</w:t>
            </w:r>
          </w:p>
        </w:tc>
        <w:tc>
          <w:tcPr>
            <w:tcW w:w="3876" w:type="dxa"/>
            <w:noWrap/>
            <w:hideMark/>
          </w:tcPr>
          <w:p w14:paraId="7F737620" w14:textId="77777777" w:rsidR="00A45DED" w:rsidRPr="00FE1A3D" w:rsidRDefault="00A45DED" w:rsidP="00A45DED">
            <w:pPr>
              <w:jc w:val="both"/>
              <w:rPr>
                <w:color w:val="000000"/>
              </w:rPr>
            </w:pPr>
            <w:bookmarkStart w:id="25" w:name="_Hlk190433385"/>
            <w:r w:rsidRPr="08475B92">
              <w:rPr>
                <w:color w:val="000000" w:themeColor="text1"/>
              </w:rPr>
              <w:t xml:space="preserve">Deležniki SRIP, ki vlagajo v znanja in spretnosti za pametno specializacijo, </w:t>
            </w:r>
          </w:p>
          <w:p w14:paraId="1B95116B" w14:textId="0B87A483" w:rsidR="007E11BA" w:rsidRPr="00FF23F3" w:rsidRDefault="00A45DED" w:rsidP="00A45DED">
            <w:pPr>
              <w:jc w:val="both"/>
              <w:rPr>
                <w:rFonts w:eastAsia="Times New Roman" w:cs="Arial"/>
                <w:color w:val="000000"/>
                <w:highlight w:val="yellow"/>
              </w:rPr>
            </w:pPr>
            <w:r w:rsidRPr="08475B92">
              <w:rPr>
                <w:color w:val="000000" w:themeColor="text1"/>
              </w:rPr>
              <w:t>industrijsko tranzicijo in podjetništvo</w:t>
            </w:r>
            <w:bookmarkEnd w:id="25"/>
          </w:p>
        </w:tc>
        <w:tc>
          <w:tcPr>
            <w:tcW w:w="1134" w:type="dxa"/>
            <w:noWrap/>
            <w:hideMark/>
          </w:tcPr>
          <w:p w14:paraId="40C9F76F" w14:textId="553EDAFC" w:rsidR="007E11BA" w:rsidRPr="00EA66B4" w:rsidRDefault="752F8FF1" w:rsidP="00F545BB">
            <w:pPr>
              <w:rPr>
                <w:rFonts w:eastAsia="Times New Roman" w:cs="Arial"/>
                <w:color w:val="000000"/>
              </w:rPr>
            </w:pPr>
            <w:r w:rsidRPr="10A5102F">
              <w:rPr>
                <w:rFonts w:eastAsia="Times New Roman" w:cs="Arial"/>
                <w:color w:val="000000" w:themeColor="text1"/>
              </w:rPr>
              <w:t>7</w:t>
            </w:r>
          </w:p>
        </w:tc>
        <w:tc>
          <w:tcPr>
            <w:tcW w:w="1418" w:type="dxa"/>
            <w:noWrap/>
            <w:hideMark/>
          </w:tcPr>
          <w:p w14:paraId="1F2634B1" w14:textId="77777777" w:rsidR="007E11BA" w:rsidRPr="00EA66B4" w:rsidRDefault="007E11BA" w:rsidP="00F545BB">
            <w:pPr>
              <w:rPr>
                <w:rFonts w:eastAsia="Times New Roman" w:cs="Arial"/>
                <w:color w:val="000000"/>
              </w:rPr>
            </w:pPr>
            <w:r w:rsidRPr="00FF23F3">
              <w:rPr>
                <w:rFonts w:eastAsia="Times New Roman" w:cs="Arial"/>
                <w:color w:val="000000"/>
              </w:rPr>
              <w:t>število</w:t>
            </w:r>
          </w:p>
        </w:tc>
        <w:tc>
          <w:tcPr>
            <w:tcW w:w="1272" w:type="dxa"/>
            <w:noWrap/>
            <w:hideMark/>
          </w:tcPr>
          <w:p w14:paraId="17C03C33" w14:textId="77777777" w:rsidR="007E11BA" w:rsidRPr="00EA66B4" w:rsidRDefault="007E11BA" w:rsidP="00F545BB">
            <w:pPr>
              <w:rPr>
                <w:rFonts w:eastAsia="Times New Roman" w:cs="Arial"/>
                <w:color w:val="000000"/>
              </w:rPr>
            </w:pPr>
            <w:r w:rsidRPr="00FF23F3">
              <w:rPr>
                <w:rFonts w:eastAsia="Times New Roman" w:cs="Arial"/>
                <w:color w:val="000000"/>
              </w:rPr>
              <w:t>0</w:t>
            </w:r>
          </w:p>
        </w:tc>
      </w:tr>
      <w:tr w:rsidR="00F453D7" w:rsidRPr="001D2761" w14:paraId="7BBE8D50" w14:textId="77777777" w:rsidTr="00443178">
        <w:trPr>
          <w:trHeight w:val="300"/>
          <w:jc w:val="center"/>
        </w:trPr>
        <w:tc>
          <w:tcPr>
            <w:tcW w:w="980" w:type="dxa"/>
            <w:noWrap/>
            <w:vAlign w:val="bottom"/>
          </w:tcPr>
          <w:p w14:paraId="25E88EE7" w14:textId="3267FBFF" w:rsidR="00F453D7" w:rsidRPr="00932601" w:rsidRDefault="00F453D7" w:rsidP="00F453D7">
            <w:pPr>
              <w:rPr>
                <w:rFonts w:eastAsia="Times New Roman" w:cs="Arial"/>
                <w:color w:val="000000"/>
              </w:rPr>
            </w:pPr>
            <w:r w:rsidRPr="00C01B6E">
              <w:rPr>
                <w:rFonts w:eastAsia="Times New Roman" w:cs="Arial"/>
                <w:color w:val="000000"/>
              </w:rPr>
              <w:t>Manj razvite regije</w:t>
            </w:r>
          </w:p>
        </w:tc>
        <w:tc>
          <w:tcPr>
            <w:tcW w:w="1276" w:type="dxa"/>
            <w:noWrap/>
            <w:vAlign w:val="bottom"/>
          </w:tcPr>
          <w:p w14:paraId="65BEF93A" w14:textId="2ADFE0F2" w:rsidR="00F453D7" w:rsidRPr="00FF23F3" w:rsidRDefault="00F453D7" w:rsidP="00F453D7">
            <w:pPr>
              <w:rPr>
                <w:rFonts w:eastAsia="Times New Roman" w:cs="Arial"/>
                <w:color w:val="000000"/>
              </w:rPr>
            </w:pPr>
            <w:r>
              <w:rPr>
                <w:rFonts w:eastAsia="Times New Roman" w:cs="Arial"/>
                <w:color w:val="000000"/>
              </w:rPr>
              <w:t>RCO101</w:t>
            </w:r>
          </w:p>
        </w:tc>
        <w:tc>
          <w:tcPr>
            <w:tcW w:w="3876" w:type="dxa"/>
            <w:noWrap/>
            <w:vAlign w:val="bottom"/>
          </w:tcPr>
          <w:p w14:paraId="6A6C0095" w14:textId="579BB09D" w:rsidR="00F453D7" w:rsidRDefault="00F453D7" w:rsidP="00F453D7">
            <w:pPr>
              <w:jc w:val="both"/>
              <w:rPr>
                <w:color w:val="000000"/>
              </w:rPr>
            </w:pPr>
            <w:r>
              <w:rPr>
                <w:color w:val="000000"/>
              </w:rPr>
              <w:t>MSP, ki vlagajo v znanja in spretnosti za pametno specializacijo, industrijski prehod in podjetništvo</w:t>
            </w:r>
          </w:p>
        </w:tc>
        <w:tc>
          <w:tcPr>
            <w:tcW w:w="1134" w:type="dxa"/>
            <w:noWrap/>
            <w:vAlign w:val="bottom"/>
          </w:tcPr>
          <w:p w14:paraId="4C5F3E27" w14:textId="68B2A8F5" w:rsidR="00F453D7" w:rsidRPr="00FF23F3" w:rsidRDefault="00F453D7" w:rsidP="00F453D7">
            <w:pPr>
              <w:rPr>
                <w:rFonts w:eastAsia="Times New Roman" w:cs="Arial"/>
                <w:color w:val="000000"/>
              </w:rPr>
            </w:pPr>
            <w:r>
              <w:rPr>
                <w:rFonts w:eastAsia="Times New Roman" w:cs="Arial"/>
                <w:color w:val="000000"/>
              </w:rPr>
              <w:t>208</w:t>
            </w:r>
          </w:p>
        </w:tc>
        <w:tc>
          <w:tcPr>
            <w:tcW w:w="1418" w:type="dxa"/>
            <w:noWrap/>
            <w:vAlign w:val="bottom"/>
          </w:tcPr>
          <w:p w14:paraId="7CE038D4" w14:textId="4D5D3FCA" w:rsidR="00F453D7" w:rsidRPr="00FF23F3" w:rsidRDefault="00F453D7" w:rsidP="00F453D7">
            <w:pPr>
              <w:rPr>
                <w:rFonts w:eastAsia="Times New Roman" w:cs="Arial"/>
                <w:color w:val="000000"/>
              </w:rPr>
            </w:pPr>
            <w:r>
              <w:rPr>
                <w:rFonts w:eastAsia="Times New Roman" w:cs="Arial"/>
                <w:color w:val="000000"/>
              </w:rPr>
              <w:t>podjetja</w:t>
            </w:r>
          </w:p>
        </w:tc>
        <w:tc>
          <w:tcPr>
            <w:tcW w:w="1272" w:type="dxa"/>
            <w:noWrap/>
            <w:vAlign w:val="bottom"/>
          </w:tcPr>
          <w:p w14:paraId="40F114FA" w14:textId="70DE7A2A" w:rsidR="00F453D7" w:rsidRPr="00FF23F3" w:rsidRDefault="00F453D7" w:rsidP="00F453D7">
            <w:pPr>
              <w:rPr>
                <w:rFonts w:eastAsia="Times New Roman" w:cs="Arial"/>
                <w:color w:val="000000"/>
              </w:rPr>
            </w:pPr>
            <w:r>
              <w:rPr>
                <w:rFonts w:eastAsia="Times New Roman" w:cs="Arial"/>
                <w:color w:val="000000"/>
              </w:rPr>
              <w:t>162</w:t>
            </w:r>
          </w:p>
        </w:tc>
      </w:tr>
      <w:tr w:rsidR="00F453D7" w:rsidRPr="001D2761" w14:paraId="2B0EC537" w14:textId="77777777" w:rsidTr="00443178">
        <w:trPr>
          <w:trHeight w:val="300"/>
          <w:jc w:val="center"/>
        </w:trPr>
        <w:tc>
          <w:tcPr>
            <w:tcW w:w="980" w:type="dxa"/>
            <w:noWrap/>
            <w:vAlign w:val="bottom"/>
          </w:tcPr>
          <w:p w14:paraId="2D587E80" w14:textId="335E857A" w:rsidR="00F453D7" w:rsidRPr="00932601" w:rsidRDefault="00F453D7" w:rsidP="00F453D7">
            <w:pPr>
              <w:rPr>
                <w:rFonts w:eastAsia="Times New Roman" w:cs="Arial"/>
                <w:color w:val="000000"/>
              </w:rPr>
            </w:pPr>
            <w:r w:rsidRPr="00C01B6E">
              <w:rPr>
                <w:rFonts w:eastAsia="Times New Roman" w:cs="Arial"/>
                <w:color w:val="000000"/>
              </w:rPr>
              <w:t>Bolj razvite regije</w:t>
            </w:r>
          </w:p>
        </w:tc>
        <w:tc>
          <w:tcPr>
            <w:tcW w:w="1276" w:type="dxa"/>
            <w:noWrap/>
            <w:vAlign w:val="bottom"/>
          </w:tcPr>
          <w:p w14:paraId="36F9D29C" w14:textId="6B4BEF48" w:rsidR="00F453D7" w:rsidRPr="00FF23F3" w:rsidRDefault="00F453D7" w:rsidP="00F453D7">
            <w:pPr>
              <w:rPr>
                <w:rFonts w:eastAsia="Times New Roman" w:cs="Arial"/>
                <w:color w:val="000000"/>
              </w:rPr>
            </w:pPr>
            <w:r>
              <w:rPr>
                <w:rFonts w:eastAsia="Times New Roman" w:cs="Arial"/>
                <w:color w:val="000000"/>
              </w:rPr>
              <w:t>RCO101</w:t>
            </w:r>
          </w:p>
        </w:tc>
        <w:tc>
          <w:tcPr>
            <w:tcW w:w="3876" w:type="dxa"/>
            <w:noWrap/>
            <w:vAlign w:val="bottom"/>
          </w:tcPr>
          <w:p w14:paraId="291189E8" w14:textId="181A97A0" w:rsidR="00F453D7" w:rsidRDefault="00F453D7" w:rsidP="00F453D7">
            <w:pPr>
              <w:jc w:val="both"/>
              <w:rPr>
                <w:color w:val="000000"/>
              </w:rPr>
            </w:pPr>
            <w:r w:rsidRPr="00C01B6E">
              <w:rPr>
                <w:color w:val="000000"/>
              </w:rPr>
              <w:t>MSP, ki vlagajo v znanja in spretnosti za pametno specializacijo, industrijski prehod in podjetništvo</w:t>
            </w:r>
          </w:p>
        </w:tc>
        <w:tc>
          <w:tcPr>
            <w:tcW w:w="1134" w:type="dxa"/>
            <w:noWrap/>
            <w:vAlign w:val="bottom"/>
          </w:tcPr>
          <w:p w14:paraId="20E45DF4" w14:textId="21B3DFC8" w:rsidR="00F453D7" w:rsidRPr="00FF23F3" w:rsidRDefault="00F453D7" w:rsidP="00F453D7">
            <w:pPr>
              <w:rPr>
                <w:rFonts w:eastAsia="Times New Roman" w:cs="Arial"/>
                <w:color w:val="000000"/>
              </w:rPr>
            </w:pPr>
            <w:r>
              <w:rPr>
                <w:rFonts w:eastAsia="Times New Roman" w:cs="Arial"/>
                <w:color w:val="000000"/>
              </w:rPr>
              <w:t>192</w:t>
            </w:r>
          </w:p>
        </w:tc>
        <w:tc>
          <w:tcPr>
            <w:tcW w:w="1418" w:type="dxa"/>
            <w:noWrap/>
            <w:vAlign w:val="bottom"/>
          </w:tcPr>
          <w:p w14:paraId="73F516DB" w14:textId="74CEBC4D" w:rsidR="00F453D7" w:rsidRPr="00FF23F3" w:rsidRDefault="00F453D7" w:rsidP="00F453D7">
            <w:pPr>
              <w:rPr>
                <w:rFonts w:eastAsia="Times New Roman" w:cs="Arial"/>
                <w:color w:val="000000"/>
              </w:rPr>
            </w:pPr>
            <w:r>
              <w:rPr>
                <w:rFonts w:eastAsia="Times New Roman" w:cs="Arial"/>
                <w:color w:val="000000"/>
              </w:rPr>
              <w:t>podjetja</w:t>
            </w:r>
          </w:p>
        </w:tc>
        <w:tc>
          <w:tcPr>
            <w:tcW w:w="1272" w:type="dxa"/>
            <w:noWrap/>
            <w:vAlign w:val="bottom"/>
          </w:tcPr>
          <w:p w14:paraId="1C7AB8C3" w14:textId="377341AD" w:rsidR="00F453D7" w:rsidRPr="00FF23F3" w:rsidRDefault="00F453D7" w:rsidP="00F453D7">
            <w:pPr>
              <w:rPr>
                <w:rFonts w:eastAsia="Times New Roman" w:cs="Arial"/>
                <w:color w:val="000000"/>
              </w:rPr>
            </w:pPr>
            <w:r>
              <w:rPr>
                <w:rFonts w:eastAsia="Times New Roman" w:cs="Arial"/>
                <w:color w:val="000000"/>
              </w:rPr>
              <w:t>11</w:t>
            </w:r>
            <w:r w:rsidR="005447ED">
              <w:rPr>
                <w:rFonts w:eastAsia="Times New Roman" w:cs="Arial"/>
                <w:color w:val="000000"/>
              </w:rPr>
              <w:t>5</w:t>
            </w:r>
          </w:p>
        </w:tc>
      </w:tr>
      <w:tr w:rsidR="00F453D7" w:rsidRPr="001D2761" w14:paraId="70855875" w14:textId="77777777" w:rsidTr="00443178">
        <w:trPr>
          <w:trHeight w:val="300"/>
          <w:jc w:val="center"/>
        </w:trPr>
        <w:tc>
          <w:tcPr>
            <w:tcW w:w="980" w:type="dxa"/>
            <w:noWrap/>
            <w:vAlign w:val="bottom"/>
          </w:tcPr>
          <w:p w14:paraId="19662EF4" w14:textId="74304A0C" w:rsidR="00F453D7" w:rsidRPr="00932601" w:rsidRDefault="00F453D7" w:rsidP="00F453D7">
            <w:pPr>
              <w:rPr>
                <w:rFonts w:eastAsia="Times New Roman" w:cs="Arial"/>
                <w:color w:val="000000"/>
              </w:rPr>
            </w:pPr>
            <w:r w:rsidRPr="00C01B6E">
              <w:rPr>
                <w:rFonts w:eastAsia="Times New Roman" w:cs="Arial"/>
                <w:color w:val="000000"/>
              </w:rPr>
              <w:t>Manj razvite regije</w:t>
            </w:r>
          </w:p>
        </w:tc>
        <w:tc>
          <w:tcPr>
            <w:tcW w:w="1276" w:type="dxa"/>
            <w:noWrap/>
            <w:vAlign w:val="bottom"/>
          </w:tcPr>
          <w:p w14:paraId="0024146C" w14:textId="35C7398C" w:rsidR="00F453D7" w:rsidRPr="00FF23F3" w:rsidRDefault="00F453D7" w:rsidP="00F453D7">
            <w:pPr>
              <w:rPr>
                <w:rFonts w:eastAsia="Times New Roman" w:cs="Arial"/>
                <w:color w:val="000000"/>
              </w:rPr>
            </w:pPr>
            <w:r>
              <w:rPr>
                <w:rFonts w:eastAsia="Times New Roman" w:cs="Arial"/>
                <w:color w:val="000000"/>
              </w:rPr>
              <w:t>RCR98</w:t>
            </w:r>
          </w:p>
        </w:tc>
        <w:tc>
          <w:tcPr>
            <w:tcW w:w="3876" w:type="dxa"/>
            <w:noWrap/>
            <w:vAlign w:val="bottom"/>
          </w:tcPr>
          <w:p w14:paraId="0330152E" w14:textId="6316AC39" w:rsidR="00F453D7" w:rsidRDefault="00F453D7" w:rsidP="00F453D7">
            <w:pPr>
              <w:jc w:val="both"/>
              <w:rPr>
                <w:color w:val="000000"/>
              </w:rPr>
            </w:pPr>
            <w:r>
              <w:rPr>
                <w:color w:val="000000"/>
              </w:rPr>
              <w:t xml:space="preserve">Zaposleni v MSP, ki zaključijo usposabljanje za znanja in spretnosti za pametno specializacijo, industrijsko </w:t>
            </w:r>
            <w:r>
              <w:rPr>
                <w:color w:val="000000"/>
              </w:rPr>
              <w:lastRenderedPageBreak/>
              <w:t>tranzicijo in podjetništvo (glede na vrsto znanj in spretnosti; tehnična, upravljavska, podjetniška, zelena, drugo)</w:t>
            </w:r>
          </w:p>
        </w:tc>
        <w:tc>
          <w:tcPr>
            <w:tcW w:w="1134" w:type="dxa"/>
            <w:noWrap/>
            <w:vAlign w:val="bottom"/>
          </w:tcPr>
          <w:p w14:paraId="66A9440D" w14:textId="7CA20B5D" w:rsidR="00F453D7" w:rsidRPr="00FF23F3" w:rsidRDefault="00F453D7" w:rsidP="00F453D7">
            <w:pPr>
              <w:rPr>
                <w:rFonts w:eastAsia="Times New Roman" w:cs="Arial"/>
                <w:color w:val="000000"/>
              </w:rPr>
            </w:pPr>
            <w:r>
              <w:rPr>
                <w:rFonts w:eastAsia="Times New Roman" w:cs="Arial"/>
                <w:color w:val="000000"/>
              </w:rPr>
              <w:lastRenderedPageBreak/>
              <w:t>1.803</w:t>
            </w:r>
          </w:p>
        </w:tc>
        <w:tc>
          <w:tcPr>
            <w:tcW w:w="1418" w:type="dxa"/>
            <w:noWrap/>
            <w:vAlign w:val="bottom"/>
          </w:tcPr>
          <w:p w14:paraId="06A493BC" w14:textId="25F1B01B" w:rsidR="00F453D7" w:rsidRPr="00FF23F3" w:rsidRDefault="00F453D7" w:rsidP="00F453D7">
            <w:pPr>
              <w:rPr>
                <w:rFonts w:eastAsia="Times New Roman" w:cs="Arial"/>
                <w:color w:val="000000"/>
              </w:rPr>
            </w:pPr>
            <w:r>
              <w:rPr>
                <w:rFonts w:eastAsia="Times New Roman" w:cs="Arial"/>
                <w:color w:val="000000"/>
              </w:rPr>
              <w:t>udeleženci</w:t>
            </w:r>
          </w:p>
        </w:tc>
        <w:tc>
          <w:tcPr>
            <w:tcW w:w="1272" w:type="dxa"/>
            <w:noWrap/>
            <w:vAlign w:val="bottom"/>
          </w:tcPr>
          <w:p w14:paraId="72C451DC" w14:textId="6B3608C5" w:rsidR="00F453D7" w:rsidRPr="00FF23F3" w:rsidRDefault="00F453D7" w:rsidP="00F453D7">
            <w:pPr>
              <w:rPr>
                <w:rFonts w:eastAsia="Times New Roman" w:cs="Arial"/>
                <w:color w:val="000000"/>
              </w:rPr>
            </w:pPr>
            <w:r>
              <w:rPr>
                <w:rFonts w:eastAsia="Times New Roman" w:cs="Arial"/>
                <w:color w:val="000000"/>
              </w:rPr>
              <w:t>1.157</w:t>
            </w:r>
          </w:p>
        </w:tc>
      </w:tr>
      <w:tr w:rsidR="00F453D7" w:rsidRPr="001D2761" w14:paraId="1AF08D37" w14:textId="77777777" w:rsidTr="00443178">
        <w:trPr>
          <w:trHeight w:val="300"/>
          <w:jc w:val="center"/>
        </w:trPr>
        <w:tc>
          <w:tcPr>
            <w:tcW w:w="980" w:type="dxa"/>
            <w:noWrap/>
            <w:vAlign w:val="bottom"/>
          </w:tcPr>
          <w:p w14:paraId="27B7C643" w14:textId="4D95EB07" w:rsidR="00F453D7" w:rsidRPr="00932601" w:rsidRDefault="00F453D7" w:rsidP="00F453D7">
            <w:pPr>
              <w:rPr>
                <w:rFonts w:eastAsia="Times New Roman" w:cs="Arial"/>
                <w:color w:val="000000"/>
              </w:rPr>
            </w:pPr>
            <w:r w:rsidRPr="00C01B6E">
              <w:rPr>
                <w:rFonts w:eastAsia="Times New Roman" w:cs="Arial"/>
                <w:color w:val="000000"/>
              </w:rPr>
              <w:t>Bolj razvite regije</w:t>
            </w:r>
          </w:p>
        </w:tc>
        <w:tc>
          <w:tcPr>
            <w:tcW w:w="1276" w:type="dxa"/>
            <w:noWrap/>
            <w:vAlign w:val="bottom"/>
          </w:tcPr>
          <w:p w14:paraId="503DCA63" w14:textId="6D277648" w:rsidR="00F453D7" w:rsidRPr="00FF23F3" w:rsidRDefault="00F453D7" w:rsidP="00F453D7">
            <w:pPr>
              <w:rPr>
                <w:rFonts w:eastAsia="Times New Roman" w:cs="Arial"/>
                <w:color w:val="000000"/>
              </w:rPr>
            </w:pPr>
            <w:r>
              <w:rPr>
                <w:rFonts w:eastAsia="Times New Roman" w:cs="Arial"/>
                <w:color w:val="000000"/>
              </w:rPr>
              <w:t>RCR98</w:t>
            </w:r>
          </w:p>
        </w:tc>
        <w:tc>
          <w:tcPr>
            <w:tcW w:w="3876" w:type="dxa"/>
            <w:noWrap/>
            <w:vAlign w:val="bottom"/>
          </w:tcPr>
          <w:p w14:paraId="6D8A0DD5" w14:textId="54890D02" w:rsidR="00F453D7" w:rsidRDefault="00F453D7" w:rsidP="00F453D7">
            <w:pPr>
              <w:jc w:val="both"/>
              <w:rPr>
                <w:color w:val="000000"/>
              </w:rPr>
            </w:pPr>
            <w:r w:rsidRPr="00780F32">
              <w:rPr>
                <w:rFonts w:eastAsia="Times New Roman" w:cs="Arial"/>
                <w:color w:val="000000"/>
              </w:rPr>
              <w:t>Zaposleni v MSP, ki zaključijo usposabljanje za znanja in spretnosti za pametno specializacijo, industrijsko tranzicijo in podjetništvo (glede na vrsto znanj in spretnosti; tehnična, upravljavska, podjetniška, zelena, drugo)</w:t>
            </w:r>
          </w:p>
        </w:tc>
        <w:tc>
          <w:tcPr>
            <w:tcW w:w="1134" w:type="dxa"/>
            <w:noWrap/>
            <w:vAlign w:val="bottom"/>
          </w:tcPr>
          <w:p w14:paraId="6441845C" w14:textId="242ECA6F" w:rsidR="00F453D7" w:rsidRPr="00FF23F3" w:rsidRDefault="00F453D7" w:rsidP="00F453D7">
            <w:pPr>
              <w:rPr>
                <w:rFonts w:eastAsia="Times New Roman" w:cs="Arial"/>
                <w:color w:val="000000"/>
              </w:rPr>
            </w:pPr>
            <w:r>
              <w:rPr>
                <w:rFonts w:eastAsia="Times New Roman" w:cs="Arial"/>
                <w:color w:val="000000"/>
              </w:rPr>
              <w:t>1.347</w:t>
            </w:r>
          </w:p>
        </w:tc>
        <w:tc>
          <w:tcPr>
            <w:tcW w:w="1418" w:type="dxa"/>
            <w:noWrap/>
            <w:vAlign w:val="bottom"/>
          </w:tcPr>
          <w:p w14:paraId="407FB17C" w14:textId="7E85C922" w:rsidR="00F453D7" w:rsidRPr="00FF23F3" w:rsidRDefault="00F453D7" w:rsidP="00F453D7">
            <w:pPr>
              <w:rPr>
                <w:rFonts w:eastAsia="Times New Roman" w:cs="Arial"/>
                <w:color w:val="000000"/>
              </w:rPr>
            </w:pPr>
            <w:r>
              <w:rPr>
                <w:rFonts w:eastAsia="Times New Roman" w:cs="Arial"/>
                <w:color w:val="000000"/>
              </w:rPr>
              <w:t>udeleženci</w:t>
            </w:r>
          </w:p>
        </w:tc>
        <w:tc>
          <w:tcPr>
            <w:tcW w:w="1272" w:type="dxa"/>
            <w:noWrap/>
            <w:vAlign w:val="bottom"/>
          </w:tcPr>
          <w:p w14:paraId="7DC8C9BF" w14:textId="141F1339" w:rsidR="00F453D7" w:rsidRPr="00FF23F3" w:rsidRDefault="00F453D7" w:rsidP="00F453D7">
            <w:pPr>
              <w:rPr>
                <w:rFonts w:eastAsia="Times New Roman" w:cs="Arial"/>
                <w:color w:val="000000"/>
              </w:rPr>
            </w:pPr>
            <w:r>
              <w:rPr>
                <w:rFonts w:eastAsia="Times New Roman" w:cs="Arial"/>
                <w:color w:val="000000"/>
              </w:rPr>
              <w:t>838</w:t>
            </w:r>
          </w:p>
        </w:tc>
      </w:tr>
    </w:tbl>
    <w:p w14:paraId="32CECFF5" w14:textId="77777777" w:rsidR="00C54560" w:rsidRPr="008B465D" w:rsidRDefault="00C54560" w:rsidP="001A2407">
      <w:pPr>
        <w:spacing w:after="0"/>
      </w:pPr>
    </w:p>
    <w:p w14:paraId="6ACD8283" w14:textId="4493ED31" w:rsidR="00021DF2" w:rsidRPr="00ED0673" w:rsidRDefault="009145EF" w:rsidP="00ED0673">
      <w:pPr>
        <w:pStyle w:val="Naslov2"/>
        <w:numPr>
          <w:ilvl w:val="1"/>
          <w:numId w:val="23"/>
        </w:numPr>
      </w:pPr>
      <w:bookmarkStart w:id="26" w:name="_Toc191383850"/>
      <w:r w:rsidRPr="00ED0673">
        <w:t>Predlog spremembe zaradi STEP na RSO 2.2 RSO2.2. Spodbujanje energije iz obnovljivih virov v skladu z Direktivo (EU) 2018/2001 o spodbujanju uporabe energije iz obnovljivih virov [1], vključno s trajnostnimi merili, določenimi v Direktivi (ESRR)</w:t>
      </w:r>
      <w:bookmarkEnd w:id="26"/>
    </w:p>
    <w:p w14:paraId="052211E7" w14:textId="77777777" w:rsidR="001A2407" w:rsidRPr="001A2407" w:rsidRDefault="001A2407" w:rsidP="001A2407">
      <w:pPr>
        <w:spacing w:after="0"/>
      </w:pPr>
    </w:p>
    <w:p w14:paraId="1146E807" w14:textId="6440FF4E" w:rsidR="008A1B5C" w:rsidRDefault="008A1B5C" w:rsidP="008A1B5C">
      <w:pPr>
        <w:pStyle w:val="Napis"/>
        <w:keepNext/>
        <w:spacing w:after="0"/>
        <w:jc w:val="both"/>
        <w:rPr>
          <w:i w:val="0"/>
          <w:iCs w:val="0"/>
          <w:color w:val="auto"/>
          <w:sz w:val="20"/>
          <w:szCs w:val="20"/>
        </w:rPr>
      </w:pPr>
      <w:bookmarkStart w:id="27" w:name="_Toc191459953"/>
      <w:r w:rsidRPr="008A1B5C">
        <w:rPr>
          <w:i w:val="0"/>
          <w:iCs w:val="0"/>
          <w:color w:val="auto"/>
          <w:sz w:val="20"/>
          <w:szCs w:val="20"/>
        </w:rPr>
        <w:t xml:space="preserve">Tabela </w:t>
      </w:r>
      <w:r w:rsidRPr="008A1B5C">
        <w:rPr>
          <w:i w:val="0"/>
          <w:iCs w:val="0"/>
          <w:color w:val="auto"/>
          <w:sz w:val="20"/>
          <w:szCs w:val="20"/>
        </w:rPr>
        <w:fldChar w:fldCharType="begin"/>
      </w:r>
      <w:r w:rsidRPr="008A1B5C">
        <w:rPr>
          <w:i w:val="0"/>
          <w:iCs w:val="0"/>
          <w:color w:val="auto"/>
          <w:sz w:val="20"/>
          <w:szCs w:val="20"/>
        </w:rPr>
        <w:instrText xml:space="preserve"> SEQ Tabela \* ARABIC </w:instrText>
      </w:r>
      <w:r w:rsidRPr="008A1B5C">
        <w:rPr>
          <w:i w:val="0"/>
          <w:iCs w:val="0"/>
          <w:color w:val="auto"/>
          <w:sz w:val="20"/>
          <w:szCs w:val="20"/>
        </w:rPr>
        <w:fldChar w:fldCharType="separate"/>
      </w:r>
      <w:r w:rsidR="00784805">
        <w:rPr>
          <w:i w:val="0"/>
          <w:iCs w:val="0"/>
          <w:noProof/>
          <w:color w:val="auto"/>
          <w:sz w:val="20"/>
          <w:szCs w:val="20"/>
        </w:rPr>
        <w:t>9</w:t>
      </w:r>
      <w:r w:rsidRPr="008A1B5C">
        <w:rPr>
          <w:i w:val="0"/>
          <w:iCs w:val="0"/>
          <w:color w:val="auto"/>
          <w:sz w:val="20"/>
          <w:szCs w:val="20"/>
        </w:rPr>
        <w:fldChar w:fldCharType="end"/>
      </w:r>
      <w:r w:rsidRPr="008A1B5C">
        <w:rPr>
          <w:i w:val="0"/>
          <w:iCs w:val="0"/>
          <w:color w:val="auto"/>
          <w:sz w:val="20"/>
          <w:szCs w:val="20"/>
        </w:rPr>
        <w:t xml:space="preserve">: Predlagano nižanje sredstev </w:t>
      </w:r>
      <w:r>
        <w:rPr>
          <w:i w:val="0"/>
          <w:iCs w:val="0"/>
          <w:color w:val="auto"/>
          <w:sz w:val="20"/>
          <w:szCs w:val="20"/>
        </w:rPr>
        <w:t xml:space="preserve">za namen STEP </w:t>
      </w:r>
      <w:r w:rsidRPr="008A1B5C">
        <w:rPr>
          <w:i w:val="0"/>
          <w:iCs w:val="0"/>
          <w:color w:val="auto"/>
          <w:sz w:val="20"/>
          <w:szCs w:val="20"/>
        </w:rPr>
        <w:t>na Kategoriji regije "Boj razvita regija" na ukrepu "Spodbujanje novih daljinskih sistemov na OVE (ogrevanje in hlajenja)"</w:t>
      </w:r>
      <w:bookmarkEnd w:id="27"/>
    </w:p>
    <w:p w14:paraId="6F40BECF" w14:textId="77777777" w:rsidR="008A1B5C" w:rsidRPr="008A1B5C" w:rsidRDefault="008A1B5C" w:rsidP="008A1B5C">
      <w:pPr>
        <w:spacing w:after="0"/>
      </w:pPr>
    </w:p>
    <w:tbl>
      <w:tblPr>
        <w:tblW w:w="9356" w:type="dxa"/>
        <w:tblInd w:w="-147" w:type="dxa"/>
        <w:tblCellMar>
          <w:left w:w="70" w:type="dxa"/>
          <w:right w:w="70" w:type="dxa"/>
        </w:tblCellMar>
        <w:tblLook w:val="04A0" w:firstRow="1" w:lastRow="0" w:firstColumn="1" w:lastColumn="0" w:noHBand="0" w:noVBand="1"/>
      </w:tblPr>
      <w:tblGrid>
        <w:gridCol w:w="1702"/>
        <w:gridCol w:w="1275"/>
        <w:gridCol w:w="2694"/>
        <w:gridCol w:w="1134"/>
        <w:gridCol w:w="1134"/>
        <w:gridCol w:w="1417"/>
      </w:tblGrid>
      <w:tr w:rsidR="008A3796" w:rsidRPr="001D2761" w14:paraId="2A4B1EE0" w14:textId="77777777" w:rsidTr="00FE5518">
        <w:trPr>
          <w:trHeight w:val="679"/>
        </w:trPr>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9CA23BB" w14:textId="77777777" w:rsidR="00317046" w:rsidRPr="009E5A3A" w:rsidRDefault="00317046" w:rsidP="001D2761">
            <w:pPr>
              <w:spacing w:after="0" w:line="240" w:lineRule="auto"/>
              <w:rPr>
                <w:rFonts w:eastAsia="Times New Roman" w:cs="Arial"/>
                <w:color w:val="000000"/>
                <w:kern w:val="0"/>
                <w:szCs w:val="20"/>
                <w:lang w:eastAsia="sl-SI"/>
                <w14:ligatures w14:val="none"/>
              </w:rPr>
            </w:pPr>
            <w:bookmarkStart w:id="28" w:name="_Hlk188842716"/>
            <w:r w:rsidRPr="009E5A3A">
              <w:rPr>
                <w:rFonts w:eastAsia="Times New Roman" w:cs="Arial"/>
                <w:color w:val="000000"/>
                <w:kern w:val="0"/>
                <w:szCs w:val="20"/>
                <w:lang w:eastAsia="sl-SI"/>
                <w14:ligatures w14:val="none"/>
              </w:rPr>
              <w:t>Kategorija regije</w:t>
            </w:r>
          </w:p>
        </w:tc>
        <w:tc>
          <w:tcPr>
            <w:tcW w:w="1275"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3AC9A502" w14:textId="77777777" w:rsidR="00317046" w:rsidRPr="009E5A3A" w:rsidRDefault="00317046" w:rsidP="001D2761">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Identifikator</w:t>
            </w:r>
          </w:p>
        </w:tc>
        <w:tc>
          <w:tcPr>
            <w:tcW w:w="2694"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64CC2307" w14:textId="77777777" w:rsidR="00317046" w:rsidRPr="009E5A3A" w:rsidRDefault="00317046" w:rsidP="001D2761">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Kazalnik</w:t>
            </w:r>
          </w:p>
        </w:tc>
        <w:tc>
          <w:tcPr>
            <w:tcW w:w="1134"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0668B391" w14:textId="77777777" w:rsidR="00317046" w:rsidRPr="009E5A3A" w:rsidRDefault="00317046" w:rsidP="001D2761">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Cilj (2029)</w:t>
            </w:r>
          </w:p>
        </w:tc>
        <w:tc>
          <w:tcPr>
            <w:tcW w:w="1134"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79BD63FD" w14:textId="77777777" w:rsidR="00317046" w:rsidRPr="009E5A3A" w:rsidRDefault="00317046" w:rsidP="001D2761">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Merska enota</w:t>
            </w:r>
          </w:p>
        </w:tc>
        <w:tc>
          <w:tcPr>
            <w:tcW w:w="1417"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512F9A9B" w14:textId="1623A4E7" w:rsidR="00317046" w:rsidRPr="009E5A3A" w:rsidRDefault="00317046" w:rsidP="001D2761">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Predlagana sprememba Cilj (2029)</w:t>
            </w:r>
          </w:p>
        </w:tc>
      </w:tr>
      <w:tr w:rsidR="008A3796" w:rsidRPr="001D2761" w14:paraId="795FEB9A" w14:textId="77777777" w:rsidTr="00FE55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1EEC46CD" w14:textId="77777777" w:rsidR="00317046" w:rsidRPr="000B3E1A" w:rsidRDefault="00317046" w:rsidP="001D2761">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Bolj razvite regije</w:t>
            </w:r>
          </w:p>
        </w:tc>
        <w:tc>
          <w:tcPr>
            <w:tcW w:w="1275" w:type="dxa"/>
            <w:tcBorders>
              <w:top w:val="nil"/>
              <w:left w:val="nil"/>
              <w:bottom w:val="single" w:sz="4" w:space="0" w:color="auto"/>
              <w:right w:val="single" w:sz="4" w:space="0" w:color="auto"/>
            </w:tcBorders>
            <w:shd w:val="clear" w:color="auto" w:fill="auto"/>
            <w:noWrap/>
            <w:vAlign w:val="bottom"/>
            <w:hideMark/>
          </w:tcPr>
          <w:p w14:paraId="6964EEA0" w14:textId="77777777" w:rsidR="00317046" w:rsidRPr="000B3E1A" w:rsidRDefault="00317046" w:rsidP="001D2761">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RCO22</w:t>
            </w:r>
          </w:p>
        </w:tc>
        <w:tc>
          <w:tcPr>
            <w:tcW w:w="2694" w:type="dxa"/>
            <w:tcBorders>
              <w:top w:val="nil"/>
              <w:left w:val="nil"/>
              <w:bottom w:val="single" w:sz="4" w:space="0" w:color="auto"/>
              <w:right w:val="single" w:sz="4" w:space="0" w:color="auto"/>
            </w:tcBorders>
            <w:shd w:val="clear" w:color="auto" w:fill="auto"/>
            <w:noWrap/>
            <w:vAlign w:val="bottom"/>
            <w:hideMark/>
          </w:tcPr>
          <w:p w14:paraId="60236D41" w14:textId="77777777" w:rsidR="00317046" w:rsidRPr="000B3E1A" w:rsidRDefault="00317046" w:rsidP="00867332">
            <w:pPr>
              <w:spacing w:after="0" w:line="240" w:lineRule="auto"/>
              <w:jc w:val="both"/>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Dodatna proizvodna zmogljivost za energijo iz obnovljivih virov (od tega: električna energija, toplotna energija)</w:t>
            </w:r>
          </w:p>
        </w:tc>
        <w:tc>
          <w:tcPr>
            <w:tcW w:w="1134" w:type="dxa"/>
            <w:tcBorders>
              <w:top w:val="nil"/>
              <w:left w:val="nil"/>
              <w:bottom w:val="single" w:sz="4" w:space="0" w:color="auto"/>
              <w:right w:val="single" w:sz="4" w:space="0" w:color="auto"/>
            </w:tcBorders>
            <w:shd w:val="clear" w:color="auto" w:fill="auto"/>
            <w:noWrap/>
            <w:vAlign w:val="bottom"/>
            <w:hideMark/>
          </w:tcPr>
          <w:p w14:paraId="4A233D7D" w14:textId="77777777" w:rsidR="00317046" w:rsidRPr="000B3E1A" w:rsidRDefault="00317046" w:rsidP="001D2761">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92</w:t>
            </w:r>
          </w:p>
        </w:tc>
        <w:tc>
          <w:tcPr>
            <w:tcW w:w="1134" w:type="dxa"/>
            <w:tcBorders>
              <w:top w:val="nil"/>
              <w:left w:val="nil"/>
              <w:bottom w:val="single" w:sz="4" w:space="0" w:color="auto"/>
              <w:right w:val="single" w:sz="4" w:space="0" w:color="auto"/>
            </w:tcBorders>
            <w:shd w:val="clear" w:color="auto" w:fill="auto"/>
            <w:noWrap/>
            <w:vAlign w:val="bottom"/>
            <w:hideMark/>
          </w:tcPr>
          <w:p w14:paraId="44FACD4F" w14:textId="77777777" w:rsidR="00317046" w:rsidRPr="000B3E1A" w:rsidRDefault="00317046" w:rsidP="001D2761">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MW</w:t>
            </w:r>
          </w:p>
        </w:tc>
        <w:tc>
          <w:tcPr>
            <w:tcW w:w="1417" w:type="dxa"/>
            <w:tcBorders>
              <w:top w:val="nil"/>
              <w:left w:val="nil"/>
              <w:bottom w:val="single" w:sz="4" w:space="0" w:color="auto"/>
              <w:right w:val="single" w:sz="4" w:space="0" w:color="auto"/>
            </w:tcBorders>
            <w:shd w:val="clear" w:color="auto" w:fill="auto"/>
            <w:noWrap/>
            <w:vAlign w:val="bottom"/>
            <w:hideMark/>
          </w:tcPr>
          <w:p w14:paraId="64325125" w14:textId="77777777" w:rsidR="00317046" w:rsidRPr="000B3E1A" w:rsidRDefault="00317046" w:rsidP="001D2761">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35</w:t>
            </w:r>
          </w:p>
        </w:tc>
      </w:tr>
      <w:tr w:rsidR="008A3796" w:rsidRPr="001D2761" w14:paraId="62D06E47" w14:textId="77777777" w:rsidTr="00FE551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6FDE7A1D" w14:textId="77777777" w:rsidR="00317046" w:rsidRPr="000B3E1A" w:rsidRDefault="00317046" w:rsidP="001D2761">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Bolj razvite regije</w:t>
            </w:r>
          </w:p>
        </w:tc>
        <w:tc>
          <w:tcPr>
            <w:tcW w:w="1275" w:type="dxa"/>
            <w:tcBorders>
              <w:top w:val="nil"/>
              <w:left w:val="nil"/>
              <w:bottom w:val="single" w:sz="4" w:space="0" w:color="auto"/>
              <w:right w:val="single" w:sz="4" w:space="0" w:color="auto"/>
            </w:tcBorders>
            <w:shd w:val="clear" w:color="auto" w:fill="auto"/>
            <w:noWrap/>
            <w:vAlign w:val="bottom"/>
            <w:hideMark/>
          </w:tcPr>
          <w:p w14:paraId="44FF9E73" w14:textId="77777777" w:rsidR="00317046" w:rsidRPr="000B3E1A" w:rsidRDefault="00317046" w:rsidP="001D2761">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RCR31</w:t>
            </w:r>
          </w:p>
        </w:tc>
        <w:tc>
          <w:tcPr>
            <w:tcW w:w="2694" w:type="dxa"/>
            <w:tcBorders>
              <w:top w:val="nil"/>
              <w:left w:val="nil"/>
              <w:bottom w:val="single" w:sz="4" w:space="0" w:color="auto"/>
              <w:right w:val="single" w:sz="4" w:space="0" w:color="auto"/>
            </w:tcBorders>
            <w:shd w:val="clear" w:color="auto" w:fill="auto"/>
            <w:noWrap/>
            <w:vAlign w:val="bottom"/>
            <w:hideMark/>
          </w:tcPr>
          <w:p w14:paraId="1D6E7B9E" w14:textId="77777777" w:rsidR="00317046" w:rsidRPr="000B3E1A" w:rsidRDefault="00317046" w:rsidP="00867332">
            <w:pPr>
              <w:spacing w:after="0" w:line="240" w:lineRule="auto"/>
              <w:jc w:val="both"/>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Skupna proizvodnja energije iz obnovljivih virov (od tega: električna energija, toplotna energija)</w:t>
            </w:r>
          </w:p>
        </w:tc>
        <w:tc>
          <w:tcPr>
            <w:tcW w:w="1134" w:type="dxa"/>
            <w:tcBorders>
              <w:top w:val="nil"/>
              <w:left w:val="nil"/>
              <w:bottom w:val="single" w:sz="4" w:space="0" w:color="auto"/>
              <w:right w:val="single" w:sz="4" w:space="0" w:color="auto"/>
            </w:tcBorders>
            <w:shd w:val="clear" w:color="auto" w:fill="auto"/>
            <w:noWrap/>
            <w:vAlign w:val="bottom"/>
            <w:hideMark/>
          </w:tcPr>
          <w:p w14:paraId="32892E12" w14:textId="77777777" w:rsidR="00317046" w:rsidRPr="000B3E1A" w:rsidRDefault="00317046" w:rsidP="001D2761">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92</w:t>
            </w:r>
          </w:p>
        </w:tc>
        <w:tc>
          <w:tcPr>
            <w:tcW w:w="1134" w:type="dxa"/>
            <w:tcBorders>
              <w:top w:val="nil"/>
              <w:left w:val="nil"/>
              <w:bottom w:val="single" w:sz="4" w:space="0" w:color="auto"/>
              <w:right w:val="single" w:sz="4" w:space="0" w:color="auto"/>
            </w:tcBorders>
            <w:shd w:val="clear" w:color="auto" w:fill="auto"/>
            <w:noWrap/>
            <w:vAlign w:val="bottom"/>
            <w:hideMark/>
          </w:tcPr>
          <w:p w14:paraId="53B941ED" w14:textId="77777777" w:rsidR="00317046" w:rsidRPr="000B3E1A" w:rsidRDefault="00317046" w:rsidP="001D2761">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MWh/leto</w:t>
            </w:r>
          </w:p>
        </w:tc>
        <w:tc>
          <w:tcPr>
            <w:tcW w:w="1417" w:type="dxa"/>
            <w:tcBorders>
              <w:top w:val="nil"/>
              <w:left w:val="nil"/>
              <w:bottom w:val="single" w:sz="4" w:space="0" w:color="auto"/>
              <w:right w:val="single" w:sz="4" w:space="0" w:color="auto"/>
            </w:tcBorders>
            <w:shd w:val="clear" w:color="auto" w:fill="auto"/>
            <w:noWrap/>
            <w:vAlign w:val="bottom"/>
            <w:hideMark/>
          </w:tcPr>
          <w:p w14:paraId="2E03CCB1" w14:textId="77777777" w:rsidR="00317046" w:rsidRPr="000B3E1A" w:rsidRDefault="00317046" w:rsidP="001D2761">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35</w:t>
            </w:r>
          </w:p>
        </w:tc>
      </w:tr>
      <w:bookmarkEnd w:id="28"/>
    </w:tbl>
    <w:p w14:paraId="413E0E7E" w14:textId="2A1CC468" w:rsidR="001D2761" w:rsidRPr="00106E51" w:rsidRDefault="001D2761" w:rsidP="001A2407">
      <w:pPr>
        <w:spacing w:after="0"/>
        <w:rPr>
          <w:sz w:val="22"/>
        </w:rPr>
      </w:pPr>
    </w:p>
    <w:p w14:paraId="5142C552" w14:textId="6DFD3CA6" w:rsidR="00C3062C" w:rsidRPr="00106E51" w:rsidRDefault="00C3062C" w:rsidP="00106E51">
      <w:pPr>
        <w:pStyle w:val="Napis"/>
        <w:keepNext/>
        <w:spacing w:after="0"/>
        <w:jc w:val="both"/>
        <w:rPr>
          <w:i w:val="0"/>
          <w:iCs w:val="0"/>
          <w:color w:val="auto"/>
          <w:sz w:val="20"/>
          <w:szCs w:val="20"/>
        </w:rPr>
      </w:pPr>
      <w:bookmarkStart w:id="29" w:name="_Toc191459954"/>
      <w:bookmarkStart w:id="30" w:name="_Hlk188835903"/>
      <w:r w:rsidRPr="00106E51">
        <w:rPr>
          <w:i w:val="0"/>
          <w:iCs w:val="0"/>
          <w:color w:val="auto"/>
          <w:sz w:val="20"/>
          <w:szCs w:val="20"/>
        </w:rPr>
        <w:t xml:space="preserve">Tabela </w:t>
      </w:r>
      <w:r w:rsidRPr="00106E51">
        <w:rPr>
          <w:i w:val="0"/>
          <w:iCs w:val="0"/>
          <w:color w:val="auto"/>
          <w:sz w:val="20"/>
          <w:szCs w:val="20"/>
        </w:rPr>
        <w:fldChar w:fldCharType="begin"/>
      </w:r>
      <w:r w:rsidRPr="00106E51">
        <w:rPr>
          <w:i w:val="0"/>
          <w:iCs w:val="0"/>
          <w:color w:val="auto"/>
          <w:sz w:val="20"/>
          <w:szCs w:val="20"/>
        </w:rPr>
        <w:instrText xml:space="preserve"> SEQ Tabela \* ARABIC </w:instrText>
      </w:r>
      <w:r w:rsidRPr="00106E51">
        <w:rPr>
          <w:i w:val="0"/>
          <w:iCs w:val="0"/>
          <w:color w:val="auto"/>
          <w:sz w:val="20"/>
          <w:szCs w:val="20"/>
        </w:rPr>
        <w:fldChar w:fldCharType="separate"/>
      </w:r>
      <w:r w:rsidR="00784805">
        <w:rPr>
          <w:i w:val="0"/>
          <w:iCs w:val="0"/>
          <w:noProof/>
          <w:color w:val="auto"/>
          <w:sz w:val="20"/>
          <w:szCs w:val="20"/>
        </w:rPr>
        <w:t>10</w:t>
      </w:r>
      <w:r w:rsidRPr="00106E51">
        <w:rPr>
          <w:i w:val="0"/>
          <w:iCs w:val="0"/>
          <w:color w:val="auto"/>
          <w:sz w:val="20"/>
          <w:szCs w:val="20"/>
        </w:rPr>
        <w:fldChar w:fldCharType="end"/>
      </w:r>
      <w:r w:rsidRPr="00106E51">
        <w:rPr>
          <w:i w:val="0"/>
          <w:iCs w:val="0"/>
          <w:color w:val="auto"/>
          <w:sz w:val="20"/>
          <w:szCs w:val="20"/>
        </w:rPr>
        <w:t>: Predlagano nižanje sredstev se odrazi tudi v delu »Tabela 4: Razsežnost 1 – področje ukrepanja</w:t>
      </w:r>
      <w:bookmarkEnd w:id="29"/>
    </w:p>
    <w:p w14:paraId="1D82AFE5" w14:textId="77777777" w:rsidR="00C3062C" w:rsidRPr="00C3062C" w:rsidRDefault="00C3062C" w:rsidP="00C3062C">
      <w:pPr>
        <w:spacing w:after="0"/>
      </w:pPr>
    </w:p>
    <w:tbl>
      <w:tblPr>
        <w:tblStyle w:val="Tabelamrea1"/>
        <w:tblW w:w="9356" w:type="dxa"/>
        <w:jc w:val="center"/>
        <w:tblLook w:val="04A0" w:firstRow="1" w:lastRow="0" w:firstColumn="1" w:lastColumn="0" w:noHBand="0" w:noVBand="1"/>
      </w:tblPr>
      <w:tblGrid>
        <w:gridCol w:w="1191"/>
        <w:gridCol w:w="1606"/>
        <w:gridCol w:w="2532"/>
        <w:gridCol w:w="1996"/>
        <w:gridCol w:w="2031"/>
      </w:tblGrid>
      <w:tr w:rsidR="00DE45A3" w:rsidRPr="001D2761" w14:paraId="14C09617" w14:textId="2FAF5498" w:rsidTr="00443178">
        <w:trPr>
          <w:trHeight w:val="334"/>
          <w:jc w:val="center"/>
        </w:trPr>
        <w:tc>
          <w:tcPr>
            <w:tcW w:w="1191" w:type="dxa"/>
            <w:shd w:val="clear" w:color="auto" w:fill="D9E2F3" w:themeFill="accent1" w:themeFillTint="33"/>
            <w:noWrap/>
            <w:hideMark/>
          </w:tcPr>
          <w:p w14:paraId="749D84AE" w14:textId="5A516363" w:rsidR="00DE45A3" w:rsidRPr="000B3E1A" w:rsidRDefault="00DE45A3" w:rsidP="00F453D7">
            <w:pPr>
              <w:rPr>
                <w:rFonts w:eastAsia="Times New Roman" w:cs="Arial"/>
                <w:color w:val="000000"/>
              </w:rPr>
            </w:pPr>
            <w:r w:rsidRPr="00C94DCD">
              <w:t>Sklad</w:t>
            </w:r>
          </w:p>
        </w:tc>
        <w:tc>
          <w:tcPr>
            <w:tcW w:w="1606" w:type="dxa"/>
            <w:shd w:val="clear" w:color="auto" w:fill="D9E2F3" w:themeFill="accent1" w:themeFillTint="33"/>
            <w:noWrap/>
            <w:hideMark/>
          </w:tcPr>
          <w:p w14:paraId="59F8040A" w14:textId="5E5CE172" w:rsidR="00DE45A3" w:rsidRPr="000B3E1A" w:rsidRDefault="00DE45A3" w:rsidP="00F453D7">
            <w:pPr>
              <w:rPr>
                <w:rFonts w:eastAsia="Times New Roman" w:cs="Arial"/>
                <w:color w:val="000000"/>
              </w:rPr>
            </w:pPr>
            <w:r w:rsidRPr="00C94DCD">
              <w:t>Kategorija regije</w:t>
            </w:r>
          </w:p>
        </w:tc>
        <w:tc>
          <w:tcPr>
            <w:tcW w:w="2532" w:type="dxa"/>
            <w:shd w:val="clear" w:color="auto" w:fill="D9E2F3" w:themeFill="accent1" w:themeFillTint="33"/>
            <w:noWrap/>
            <w:hideMark/>
          </w:tcPr>
          <w:p w14:paraId="1ABFE527" w14:textId="6B4A5D25" w:rsidR="00DE45A3" w:rsidRPr="000B3E1A" w:rsidRDefault="00DE45A3" w:rsidP="00F453D7">
            <w:pPr>
              <w:rPr>
                <w:rFonts w:eastAsia="Times New Roman" w:cs="Arial"/>
                <w:color w:val="000000"/>
              </w:rPr>
            </w:pPr>
            <w:r w:rsidRPr="00C94DCD">
              <w:t>Oznaka</w:t>
            </w:r>
          </w:p>
        </w:tc>
        <w:tc>
          <w:tcPr>
            <w:tcW w:w="1996" w:type="dxa"/>
            <w:shd w:val="clear" w:color="auto" w:fill="D9E2F3" w:themeFill="accent1" w:themeFillTint="33"/>
            <w:noWrap/>
            <w:hideMark/>
          </w:tcPr>
          <w:p w14:paraId="4EC6C3C3" w14:textId="3552E3CA" w:rsidR="00DE45A3" w:rsidRPr="000B3E1A" w:rsidRDefault="00DE45A3" w:rsidP="00F453D7">
            <w:pPr>
              <w:rPr>
                <w:rFonts w:eastAsia="Times New Roman" w:cs="Arial"/>
                <w:color w:val="000000"/>
              </w:rPr>
            </w:pPr>
            <w:r w:rsidRPr="00C94DCD">
              <w:t>Znesek</w:t>
            </w:r>
          </w:p>
        </w:tc>
        <w:tc>
          <w:tcPr>
            <w:tcW w:w="2031" w:type="dxa"/>
            <w:shd w:val="clear" w:color="auto" w:fill="D9E2F3" w:themeFill="accent1" w:themeFillTint="33"/>
            <w:noWrap/>
            <w:hideMark/>
          </w:tcPr>
          <w:p w14:paraId="3A50EB54" w14:textId="3FCF055F" w:rsidR="00DE45A3" w:rsidRPr="000B3E1A" w:rsidRDefault="00DE45A3" w:rsidP="00F453D7">
            <w:pPr>
              <w:rPr>
                <w:rFonts w:eastAsia="Times New Roman" w:cs="Arial"/>
                <w:color w:val="000000"/>
              </w:rPr>
            </w:pPr>
            <w:r w:rsidRPr="00C94DCD">
              <w:t>Predlagana sprememba</w:t>
            </w:r>
            <w:r>
              <w:t xml:space="preserve"> za namen STEP</w:t>
            </w:r>
          </w:p>
        </w:tc>
      </w:tr>
      <w:tr w:rsidR="00DE45A3" w:rsidRPr="001D2761" w14:paraId="53F51D4F" w14:textId="4F17BC2C" w:rsidTr="00443178">
        <w:trPr>
          <w:trHeight w:val="334"/>
          <w:jc w:val="center"/>
        </w:trPr>
        <w:tc>
          <w:tcPr>
            <w:tcW w:w="1191" w:type="dxa"/>
            <w:noWrap/>
            <w:hideMark/>
          </w:tcPr>
          <w:p w14:paraId="3B4AA076" w14:textId="4E432FAC" w:rsidR="00DE45A3" w:rsidRPr="000B3E1A" w:rsidRDefault="00DE45A3" w:rsidP="00F453D7">
            <w:pPr>
              <w:rPr>
                <w:rFonts w:eastAsia="Times New Roman" w:cs="Arial"/>
                <w:color w:val="000000"/>
              </w:rPr>
            </w:pPr>
            <w:r w:rsidRPr="000B3E1A">
              <w:rPr>
                <w:rFonts w:eastAsia="Times New Roman" w:cs="Arial"/>
                <w:color w:val="000000"/>
              </w:rPr>
              <w:t>ESRR</w:t>
            </w:r>
          </w:p>
        </w:tc>
        <w:tc>
          <w:tcPr>
            <w:tcW w:w="1606" w:type="dxa"/>
            <w:noWrap/>
            <w:hideMark/>
          </w:tcPr>
          <w:p w14:paraId="38FA99DF" w14:textId="7CD69F56" w:rsidR="00DE45A3" w:rsidRPr="000B3E1A" w:rsidRDefault="00DE45A3" w:rsidP="00F453D7">
            <w:pPr>
              <w:rPr>
                <w:rFonts w:eastAsia="Times New Roman" w:cs="Arial"/>
                <w:color w:val="000000"/>
              </w:rPr>
            </w:pPr>
            <w:r w:rsidRPr="000B3E1A">
              <w:rPr>
                <w:rFonts w:eastAsia="Times New Roman" w:cs="Arial"/>
                <w:color w:val="000000"/>
              </w:rPr>
              <w:t>Bolj razvite regije</w:t>
            </w:r>
          </w:p>
        </w:tc>
        <w:tc>
          <w:tcPr>
            <w:tcW w:w="2532" w:type="dxa"/>
            <w:noWrap/>
            <w:hideMark/>
          </w:tcPr>
          <w:p w14:paraId="00EDD309" w14:textId="5FDF6D5A" w:rsidR="00DE45A3" w:rsidRPr="000B3E1A" w:rsidRDefault="00DE45A3" w:rsidP="00F453D7">
            <w:pPr>
              <w:rPr>
                <w:rFonts w:eastAsia="Times New Roman" w:cs="Arial"/>
                <w:color w:val="000000"/>
              </w:rPr>
            </w:pPr>
            <w:r w:rsidRPr="00DE45A3">
              <w:rPr>
                <w:rFonts w:eastAsia="Times New Roman" w:cs="Arial"/>
                <w:color w:val="000000"/>
              </w:rPr>
              <w:t>055. Visoko učinkovita soproizvodnja toplote in električne energije, daljinsko ogrevanje in hlajenje z nizkimi emisijami v življenjskem ciklu</w:t>
            </w:r>
          </w:p>
        </w:tc>
        <w:tc>
          <w:tcPr>
            <w:tcW w:w="1996" w:type="dxa"/>
            <w:noWrap/>
            <w:hideMark/>
          </w:tcPr>
          <w:p w14:paraId="3EC5BDA3" w14:textId="19730138" w:rsidR="00DE45A3" w:rsidRPr="000B3E1A" w:rsidRDefault="00DE45A3" w:rsidP="00F453D7">
            <w:pPr>
              <w:jc w:val="right"/>
              <w:rPr>
                <w:rFonts w:eastAsia="Times New Roman" w:cs="Arial"/>
                <w:color w:val="000000"/>
              </w:rPr>
            </w:pPr>
            <w:r w:rsidRPr="00DE45A3">
              <w:rPr>
                <w:rFonts w:eastAsia="Times New Roman" w:cs="Arial"/>
                <w:color w:val="000000"/>
              </w:rPr>
              <w:t>6.351.792</w:t>
            </w:r>
          </w:p>
        </w:tc>
        <w:tc>
          <w:tcPr>
            <w:tcW w:w="2031" w:type="dxa"/>
            <w:noWrap/>
            <w:hideMark/>
          </w:tcPr>
          <w:p w14:paraId="4308E6FD" w14:textId="4FA5467C" w:rsidR="00DE45A3" w:rsidRPr="000B3E1A" w:rsidRDefault="00DE45A3" w:rsidP="00F453D7">
            <w:pPr>
              <w:jc w:val="right"/>
              <w:rPr>
                <w:rFonts w:eastAsia="Times New Roman" w:cs="Arial"/>
                <w:color w:val="000000"/>
              </w:rPr>
            </w:pPr>
            <w:r w:rsidRPr="000B3E1A">
              <w:rPr>
                <w:rFonts w:eastAsia="Times New Roman" w:cs="Arial"/>
                <w:color w:val="000000"/>
              </w:rPr>
              <w:t>-4.000.000</w:t>
            </w:r>
          </w:p>
        </w:tc>
      </w:tr>
      <w:bookmarkEnd w:id="30"/>
    </w:tbl>
    <w:p w14:paraId="19BFB0FD" w14:textId="77777777" w:rsidR="001D2761" w:rsidRPr="000B3E1A" w:rsidRDefault="001D2761" w:rsidP="001A2407">
      <w:pPr>
        <w:spacing w:after="0"/>
        <w:rPr>
          <w:rFonts w:eastAsiaTheme="majorEastAsia" w:cstheme="majorBidi"/>
          <w:color w:val="4472C4" w:themeColor="accent1"/>
          <w:szCs w:val="20"/>
        </w:rPr>
      </w:pPr>
    </w:p>
    <w:p w14:paraId="0ECE2EBF" w14:textId="531120C3" w:rsidR="00E82112" w:rsidRPr="00C61B9B" w:rsidRDefault="00E82112" w:rsidP="00B9615C">
      <w:pPr>
        <w:pStyle w:val="Naslov2"/>
        <w:numPr>
          <w:ilvl w:val="1"/>
          <w:numId w:val="23"/>
        </w:numPr>
        <w:spacing w:before="0"/>
      </w:pPr>
      <w:bookmarkStart w:id="31" w:name="_Toc191383851"/>
      <w:r w:rsidRPr="00C61B9B">
        <w:t xml:space="preserve">Predlog </w:t>
      </w:r>
      <w:r w:rsidR="009145EF">
        <w:t xml:space="preserve">spremembe zaradi STEP ter predlog </w:t>
      </w:r>
      <w:r w:rsidRPr="00C61B9B">
        <w:t>novega ukrepa v RSO 2.3 Spodbujanje energije iz obnovljivih virov v skladu z Direktivo (EU) 2018/2001, vključno s trajnostnimi merili, določenimi v navedeni direktivi</w:t>
      </w:r>
      <w:bookmarkEnd w:id="31"/>
    </w:p>
    <w:p w14:paraId="6B13F24A" w14:textId="0320E96A" w:rsidR="0013137C" w:rsidRDefault="0013137C" w:rsidP="006A1BB2">
      <w:pPr>
        <w:spacing w:after="0"/>
        <w:jc w:val="both"/>
        <w:rPr>
          <w:rFonts w:cstheme="minorHAnsi"/>
          <w:b/>
          <w:bCs/>
        </w:rPr>
      </w:pPr>
    </w:p>
    <w:p w14:paraId="20A733CB" w14:textId="4C0AC8EB" w:rsidR="00F65513" w:rsidRDefault="00F65513" w:rsidP="006A1BB2">
      <w:pPr>
        <w:spacing w:after="0"/>
        <w:jc w:val="both"/>
        <w:rPr>
          <w:rFonts w:cstheme="minorHAnsi"/>
          <w:bCs/>
        </w:rPr>
      </w:pPr>
      <w:r w:rsidRPr="000B3E1A">
        <w:rPr>
          <w:rFonts w:cstheme="minorHAnsi"/>
          <w:bCs/>
        </w:rPr>
        <w:t>Za namen STEP se predlaga znižanje sredstev na RSO 2.3 na ukrepu »Spodbujanje naložb in tehnologij za pretvorbo viškov električne energije iz OVE ter povezovanje omrežij za potrebe shranjevanja energije ob pretvorbi«</w:t>
      </w:r>
      <w:r w:rsidR="00717857" w:rsidRPr="000B3E1A">
        <w:rPr>
          <w:rFonts w:cstheme="minorHAnsi"/>
          <w:bCs/>
        </w:rPr>
        <w:t xml:space="preserve"> in sicer:</w:t>
      </w:r>
    </w:p>
    <w:p w14:paraId="3383F50B" w14:textId="77777777" w:rsidR="00322F73" w:rsidRPr="000B3E1A" w:rsidRDefault="00322F73" w:rsidP="006A1BB2">
      <w:pPr>
        <w:spacing w:after="0"/>
        <w:jc w:val="both"/>
        <w:rPr>
          <w:rFonts w:cstheme="minorHAnsi"/>
          <w:bCs/>
        </w:rPr>
      </w:pPr>
    </w:p>
    <w:p w14:paraId="54CABC35" w14:textId="2836E30F" w:rsidR="00717857" w:rsidRDefault="00717857" w:rsidP="006A1BB2">
      <w:pPr>
        <w:spacing w:after="0"/>
        <w:jc w:val="both"/>
        <w:rPr>
          <w:rFonts w:cstheme="minorHAnsi"/>
          <w:b/>
          <w:bCs/>
        </w:rPr>
      </w:pPr>
    </w:p>
    <w:p w14:paraId="15636CA2" w14:textId="432AB0E3" w:rsidR="00252AA9" w:rsidRPr="00F67098" w:rsidRDefault="00252AA9" w:rsidP="00252AA9">
      <w:pPr>
        <w:pStyle w:val="Napis"/>
        <w:keepNext/>
        <w:spacing w:after="0"/>
        <w:jc w:val="both"/>
        <w:rPr>
          <w:i w:val="0"/>
          <w:iCs w:val="0"/>
          <w:color w:val="auto"/>
          <w:sz w:val="20"/>
          <w:szCs w:val="20"/>
        </w:rPr>
      </w:pPr>
      <w:bookmarkStart w:id="32" w:name="_Toc191459955"/>
      <w:r w:rsidRPr="00F67098">
        <w:rPr>
          <w:i w:val="0"/>
          <w:iCs w:val="0"/>
          <w:color w:val="auto"/>
          <w:sz w:val="20"/>
          <w:szCs w:val="20"/>
        </w:rPr>
        <w:lastRenderedPageBreak/>
        <w:t xml:space="preserve">Tabela </w:t>
      </w:r>
      <w:r w:rsidRPr="00F67098">
        <w:rPr>
          <w:i w:val="0"/>
          <w:iCs w:val="0"/>
          <w:color w:val="auto"/>
          <w:sz w:val="20"/>
          <w:szCs w:val="20"/>
        </w:rPr>
        <w:fldChar w:fldCharType="begin"/>
      </w:r>
      <w:r w:rsidRPr="00F67098">
        <w:rPr>
          <w:i w:val="0"/>
          <w:iCs w:val="0"/>
          <w:color w:val="auto"/>
          <w:sz w:val="20"/>
          <w:szCs w:val="20"/>
        </w:rPr>
        <w:instrText xml:space="preserve"> SEQ Tabela \* ARABIC </w:instrText>
      </w:r>
      <w:r w:rsidRPr="00F67098">
        <w:rPr>
          <w:i w:val="0"/>
          <w:iCs w:val="0"/>
          <w:color w:val="auto"/>
          <w:sz w:val="20"/>
          <w:szCs w:val="20"/>
        </w:rPr>
        <w:fldChar w:fldCharType="separate"/>
      </w:r>
      <w:r w:rsidR="00784805">
        <w:rPr>
          <w:i w:val="0"/>
          <w:iCs w:val="0"/>
          <w:noProof/>
          <w:color w:val="auto"/>
          <w:sz w:val="20"/>
          <w:szCs w:val="20"/>
        </w:rPr>
        <w:t>11</w:t>
      </w:r>
      <w:r w:rsidRPr="00F67098">
        <w:rPr>
          <w:i w:val="0"/>
          <w:iCs w:val="0"/>
          <w:color w:val="auto"/>
          <w:sz w:val="20"/>
          <w:szCs w:val="20"/>
        </w:rPr>
        <w:fldChar w:fldCharType="end"/>
      </w:r>
      <w:r w:rsidRPr="00F67098">
        <w:rPr>
          <w:i w:val="0"/>
          <w:iCs w:val="0"/>
          <w:color w:val="auto"/>
          <w:sz w:val="20"/>
          <w:szCs w:val="20"/>
        </w:rPr>
        <w:t>: Znižanje sredstev na RSO 2.3 na ukrepu "Spodbujanje naložb in tehnologij za pretvorbo viškov električne energije iz OVE ter povezovanje omrežij za potrebe shranjevanja energije ob pretvorbi«</w:t>
      </w:r>
      <w:bookmarkEnd w:id="32"/>
    </w:p>
    <w:p w14:paraId="0C6F3B54" w14:textId="77777777" w:rsidR="00252AA9" w:rsidRPr="00252AA9" w:rsidRDefault="00252AA9" w:rsidP="00252AA9">
      <w:pPr>
        <w:spacing w:after="0"/>
      </w:pPr>
    </w:p>
    <w:tbl>
      <w:tblPr>
        <w:tblW w:w="9351" w:type="dxa"/>
        <w:jc w:val="center"/>
        <w:tblCellMar>
          <w:left w:w="70" w:type="dxa"/>
          <w:right w:w="70" w:type="dxa"/>
        </w:tblCellMar>
        <w:tblLook w:val="04A0" w:firstRow="1" w:lastRow="0" w:firstColumn="1" w:lastColumn="0" w:noHBand="0" w:noVBand="1"/>
      </w:tblPr>
      <w:tblGrid>
        <w:gridCol w:w="2438"/>
        <w:gridCol w:w="2080"/>
        <w:gridCol w:w="2009"/>
        <w:gridCol w:w="2824"/>
      </w:tblGrid>
      <w:tr w:rsidR="00717857" w:rsidRPr="001D2761" w14:paraId="3FFD5BF3" w14:textId="77777777" w:rsidTr="009E5A3A">
        <w:trPr>
          <w:trHeight w:val="300"/>
          <w:jc w:val="center"/>
        </w:trPr>
        <w:tc>
          <w:tcPr>
            <w:tcW w:w="2438"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76822D0" w14:textId="77777777" w:rsidR="00717857" w:rsidRPr="009E5A3A" w:rsidRDefault="00717857" w:rsidP="00717857">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Kategorija regije</w:t>
            </w:r>
          </w:p>
        </w:tc>
        <w:tc>
          <w:tcPr>
            <w:tcW w:w="208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510C5DAD" w14:textId="30E6F02A" w:rsidR="00717857" w:rsidRPr="009E5A3A" w:rsidRDefault="00717857" w:rsidP="00717857">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Trenutni PEKP 21</w:t>
            </w:r>
            <w:r w:rsidR="00941845" w:rsidRPr="009E5A3A">
              <w:rPr>
                <w:rFonts w:cstheme="minorHAnsi"/>
              </w:rPr>
              <w:t>–</w:t>
            </w:r>
            <w:r w:rsidRPr="009E5A3A">
              <w:rPr>
                <w:rFonts w:eastAsia="Times New Roman" w:cs="Arial"/>
                <w:color w:val="000000"/>
                <w:kern w:val="0"/>
                <w:szCs w:val="20"/>
                <w:lang w:eastAsia="sl-SI"/>
                <w14:ligatures w14:val="none"/>
              </w:rPr>
              <w:t>27</w:t>
            </w:r>
          </w:p>
        </w:tc>
        <w:tc>
          <w:tcPr>
            <w:tcW w:w="2009"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6272A710" w14:textId="77777777" w:rsidR="00717857" w:rsidRPr="009E5A3A" w:rsidRDefault="00717857" w:rsidP="00717857">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Predlagano nižanje za namen STEP</w:t>
            </w:r>
          </w:p>
        </w:tc>
        <w:tc>
          <w:tcPr>
            <w:tcW w:w="2824"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637FFC42" w14:textId="3B7023FD" w:rsidR="00717857" w:rsidRPr="009E5A3A" w:rsidRDefault="00717857" w:rsidP="00717857">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Spremenjen PEKP 21</w:t>
            </w:r>
            <w:r w:rsidR="00941845" w:rsidRPr="009E5A3A">
              <w:rPr>
                <w:rFonts w:cstheme="minorHAnsi"/>
              </w:rPr>
              <w:t>–</w:t>
            </w:r>
            <w:r w:rsidRPr="009E5A3A">
              <w:rPr>
                <w:rFonts w:eastAsia="Times New Roman" w:cs="Arial"/>
                <w:color w:val="000000"/>
                <w:kern w:val="0"/>
                <w:szCs w:val="20"/>
                <w:lang w:eastAsia="sl-SI"/>
                <w14:ligatures w14:val="none"/>
              </w:rPr>
              <w:t>27</w:t>
            </w:r>
          </w:p>
        </w:tc>
      </w:tr>
      <w:tr w:rsidR="00717857" w:rsidRPr="001D2761" w14:paraId="3911509D" w14:textId="77777777" w:rsidTr="00106E51">
        <w:trPr>
          <w:trHeight w:val="300"/>
          <w:jc w:val="center"/>
        </w:trPr>
        <w:tc>
          <w:tcPr>
            <w:tcW w:w="2438" w:type="dxa"/>
            <w:tcBorders>
              <w:top w:val="nil"/>
              <w:left w:val="single" w:sz="4" w:space="0" w:color="auto"/>
              <w:bottom w:val="single" w:sz="4" w:space="0" w:color="auto"/>
              <w:right w:val="single" w:sz="4" w:space="0" w:color="auto"/>
            </w:tcBorders>
            <w:shd w:val="clear" w:color="auto" w:fill="auto"/>
            <w:noWrap/>
            <w:vAlign w:val="bottom"/>
            <w:hideMark/>
          </w:tcPr>
          <w:p w14:paraId="75BD494C" w14:textId="44F26A6E" w:rsidR="00717857" w:rsidRPr="000B3E1A" w:rsidRDefault="007D3728" w:rsidP="00717857">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Manj</w:t>
            </w:r>
            <w:r w:rsidR="00717857" w:rsidRPr="000B3E1A">
              <w:rPr>
                <w:rFonts w:eastAsia="Times New Roman" w:cs="Arial"/>
                <w:color w:val="000000"/>
                <w:kern w:val="0"/>
                <w:szCs w:val="20"/>
                <w:lang w:eastAsia="sl-SI"/>
                <w14:ligatures w14:val="none"/>
              </w:rPr>
              <w:t xml:space="preserve"> razvite regije</w:t>
            </w:r>
          </w:p>
        </w:tc>
        <w:tc>
          <w:tcPr>
            <w:tcW w:w="2080" w:type="dxa"/>
            <w:tcBorders>
              <w:top w:val="nil"/>
              <w:left w:val="nil"/>
              <w:bottom w:val="single" w:sz="4" w:space="0" w:color="auto"/>
              <w:right w:val="single" w:sz="4" w:space="0" w:color="auto"/>
            </w:tcBorders>
            <w:shd w:val="clear" w:color="auto" w:fill="auto"/>
            <w:noWrap/>
            <w:vAlign w:val="bottom"/>
            <w:hideMark/>
          </w:tcPr>
          <w:p w14:paraId="79B1E882" w14:textId="77777777" w:rsidR="00717857" w:rsidRPr="000B3E1A" w:rsidRDefault="00717857" w:rsidP="00717857">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17.470.000</w:t>
            </w:r>
          </w:p>
        </w:tc>
        <w:tc>
          <w:tcPr>
            <w:tcW w:w="2009" w:type="dxa"/>
            <w:tcBorders>
              <w:top w:val="nil"/>
              <w:left w:val="nil"/>
              <w:bottom w:val="single" w:sz="4" w:space="0" w:color="auto"/>
              <w:right w:val="single" w:sz="4" w:space="0" w:color="auto"/>
            </w:tcBorders>
            <w:shd w:val="clear" w:color="auto" w:fill="auto"/>
            <w:noWrap/>
            <w:vAlign w:val="bottom"/>
            <w:hideMark/>
          </w:tcPr>
          <w:p w14:paraId="3931C5D4" w14:textId="77777777" w:rsidR="00717857" w:rsidRPr="000B3E1A" w:rsidRDefault="00717857" w:rsidP="00717857">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14.500.000</w:t>
            </w:r>
          </w:p>
        </w:tc>
        <w:tc>
          <w:tcPr>
            <w:tcW w:w="2824" w:type="dxa"/>
            <w:tcBorders>
              <w:top w:val="nil"/>
              <w:left w:val="nil"/>
              <w:bottom w:val="single" w:sz="4" w:space="0" w:color="auto"/>
              <w:right w:val="single" w:sz="4" w:space="0" w:color="auto"/>
            </w:tcBorders>
            <w:shd w:val="clear" w:color="auto" w:fill="auto"/>
            <w:noWrap/>
            <w:vAlign w:val="bottom"/>
            <w:hideMark/>
          </w:tcPr>
          <w:p w14:paraId="457F2092" w14:textId="77777777" w:rsidR="00717857" w:rsidRPr="000B3E1A" w:rsidRDefault="00717857" w:rsidP="00717857">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2.970.000</w:t>
            </w:r>
          </w:p>
        </w:tc>
      </w:tr>
      <w:tr w:rsidR="00717857" w:rsidRPr="001D2761" w14:paraId="185E8520" w14:textId="77777777" w:rsidTr="00106E51">
        <w:trPr>
          <w:trHeight w:val="300"/>
          <w:jc w:val="center"/>
        </w:trPr>
        <w:tc>
          <w:tcPr>
            <w:tcW w:w="2438" w:type="dxa"/>
            <w:tcBorders>
              <w:top w:val="nil"/>
              <w:left w:val="single" w:sz="4" w:space="0" w:color="auto"/>
              <w:bottom w:val="single" w:sz="4" w:space="0" w:color="auto"/>
              <w:right w:val="single" w:sz="4" w:space="0" w:color="auto"/>
            </w:tcBorders>
            <w:shd w:val="clear" w:color="auto" w:fill="auto"/>
            <w:noWrap/>
            <w:vAlign w:val="bottom"/>
            <w:hideMark/>
          </w:tcPr>
          <w:p w14:paraId="684E6D20" w14:textId="7FFA45CA" w:rsidR="00717857" w:rsidRPr="000B3E1A" w:rsidRDefault="007D3728" w:rsidP="00717857">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Bolj</w:t>
            </w:r>
            <w:r w:rsidR="00717857" w:rsidRPr="000B3E1A">
              <w:rPr>
                <w:rFonts w:eastAsia="Times New Roman" w:cs="Arial"/>
                <w:color w:val="000000"/>
                <w:kern w:val="0"/>
                <w:szCs w:val="20"/>
                <w:lang w:eastAsia="sl-SI"/>
                <w14:ligatures w14:val="none"/>
              </w:rPr>
              <w:t xml:space="preserve"> razvite regije</w:t>
            </w:r>
          </w:p>
        </w:tc>
        <w:tc>
          <w:tcPr>
            <w:tcW w:w="2080" w:type="dxa"/>
            <w:tcBorders>
              <w:top w:val="nil"/>
              <w:left w:val="nil"/>
              <w:bottom w:val="single" w:sz="4" w:space="0" w:color="auto"/>
              <w:right w:val="single" w:sz="4" w:space="0" w:color="auto"/>
            </w:tcBorders>
            <w:shd w:val="clear" w:color="auto" w:fill="auto"/>
            <w:noWrap/>
            <w:vAlign w:val="bottom"/>
            <w:hideMark/>
          </w:tcPr>
          <w:p w14:paraId="23BD5984" w14:textId="77777777" w:rsidR="00717857" w:rsidRPr="000B3E1A" w:rsidRDefault="00717857" w:rsidP="00717857">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1.853.000</w:t>
            </w:r>
          </w:p>
        </w:tc>
        <w:tc>
          <w:tcPr>
            <w:tcW w:w="2009" w:type="dxa"/>
            <w:tcBorders>
              <w:top w:val="nil"/>
              <w:left w:val="nil"/>
              <w:bottom w:val="single" w:sz="4" w:space="0" w:color="auto"/>
              <w:right w:val="single" w:sz="4" w:space="0" w:color="auto"/>
            </w:tcBorders>
            <w:shd w:val="clear" w:color="auto" w:fill="auto"/>
            <w:noWrap/>
            <w:vAlign w:val="bottom"/>
            <w:hideMark/>
          </w:tcPr>
          <w:p w14:paraId="321FDE38" w14:textId="77777777" w:rsidR="00717857" w:rsidRPr="000B3E1A" w:rsidRDefault="00717857" w:rsidP="00717857">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1.500.000</w:t>
            </w:r>
          </w:p>
        </w:tc>
        <w:tc>
          <w:tcPr>
            <w:tcW w:w="2824" w:type="dxa"/>
            <w:tcBorders>
              <w:top w:val="nil"/>
              <w:left w:val="nil"/>
              <w:bottom w:val="single" w:sz="4" w:space="0" w:color="auto"/>
              <w:right w:val="single" w:sz="4" w:space="0" w:color="auto"/>
            </w:tcBorders>
            <w:shd w:val="clear" w:color="auto" w:fill="auto"/>
            <w:noWrap/>
            <w:vAlign w:val="bottom"/>
            <w:hideMark/>
          </w:tcPr>
          <w:p w14:paraId="0B9CC5D7" w14:textId="77777777" w:rsidR="00717857" w:rsidRPr="000B3E1A" w:rsidRDefault="00717857" w:rsidP="00717857">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353.000</w:t>
            </w:r>
          </w:p>
        </w:tc>
      </w:tr>
    </w:tbl>
    <w:p w14:paraId="5CB16C06" w14:textId="77777777" w:rsidR="00717857" w:rsidRDefault="00717857" w:rsidP="006A1BB2">
      <w:pPr>
        <w:spacing w:after="0"/>
        <w:jc w:val="both"/>
        <w:rPr>
          <w:rFonts w:cstheme="minorHAnsi"/>
          <w:b/>
          <w:bCs/>
        </w:rPr>
      </w:pPr>
    </w:p>
    <w:p w14:paraId="30E27CFF" w14:textId="07782DF9" w:rsidR="00717857" w:rsidRPr="000B3E1A" w:rsidRDefault="00717857" w:rsidP="006A1BB2">
      <w:pPr>
        <w:spacing w:after="0"/>
        <w:jc w:val="both"/>
        <w:rPr>
          <w:rFonts w:cstheme="minorHAnsi"/>
          <w:bCs/>
        </w:rPr>
      </w:pPr>
      <w:bookmarkStart w:id="33" w:name="_Hlk188836699"/>
      <w:r w:rsidRPr="000B3E1A">
        <w:rPr>
          <w:rFonts w:cstheme="minorHAnsi"/>
          <w:bCs/>
        </w:rPr>
        <w:t>Zaradi nižanja vrednosti ukrepov se predlaga tudi sprememba kazalnikov, ki prispevajo k temu ukrepu in sicer:</w:t>
      </w:r>
    </w:p>
    <w:bookmarkEnd w:id="33"/>
    <w:p w14:paraId="28886F84" w14:textId="1FCFCACC" w:rsidR="00717857" w:rsidRDefault="00717857" w:rsidP="006A1BB2">
      <w:pPr>
        <w:spacing w:after="0"/>
        <w:jc w:val="both"/>
        <w:rPr>
          <w:rFonts w:cstheme="minorHAnsi"/>
          <w:b/>
          <w:bCs/>
        </w:rPr>
      </w:pPr>
    </w:p>
    <w:p w14:paraId="2E4CC900" w14:textId="423DF0BB" w:rsidR="00252AA9" w:rsidRPr="00F67098" w:rsidRDefault="00252AA9" w:rsidP="00252AA9">
      <w:pPr>
        <w:pStyle w:val="Napis"/>
        <w:keepNext/>
        <w:spacing w:after="0"/>
        <w:rPr>
          <w:i w:val="0"/>
          <w:iCs w:val="0"/>
          <w:color w:val="auto"/>
          <w:sz w:val="20"/>
          <w:szCs w:val="20"/>
        </w:rPr>
      </w:pPr>
      <w:bookmarkStart w:id="34" w:name="_Toc191459956"/>
      <w:r w:rsidRPr="00F67098">
        <w:rPr>
          <w:i w:val="0"/>
          <w:iCs w:val="0"/>
          <w:color w:val="auto"/>
          <w:sz w:val="20"/>
          <w:szCs w:val="20"/>
        </w:rPr>
        <w:t xml:space="preserve">Tabela </w:t>
      </w:r>
      <w:r w:rsidRPr="00F67098">
        <w:rPr>
          <w:i w:val="0"/>
          <w:iCs w:val="0"/>
          <w:color w:val="auto"/>
          <w:sz w:val="20"/>
          <w:szCs w:val="20"/>
        </w:rPr>
        <w:fldChar w:fldCharType="begin"/>
      </w:r>
      <w:r w:rsidRPr="00F67098">
        <w:rPr>
          <w:i w:val="0"/>
          <w:iCs w:val="0"/>
          <w:color w:val="auto"/>
          <w:sz w:val="20"/>
          <w:szCs w:val="20"/>
        </w:rPr>
        <w:instrText xml:space="preserve"> SEQ Tabela \* ARABIC </w:instrText>
      </w:r>
      <w:r w:rsidRPr="00F67098">
        <w:rPr>
          <w:i w:val="0"/>
          <w:iCs w:val="0"/>
          <w:color w:val="auto"/>
          <w:sz w:val="20"/>
          <w:szCs w:val="20"/>
        </w:rPr>
        <w:fldChar w:fldCharType="separate"/>
      </w:r>
      <w:r w:rsidR="00784805">
        <w:rPr>
          <w:i w:val="0"/>
          <w:iCs w:val="0"/>
          <w:noProof/>
          <w:color w:val="auto"/>
          <w:sz w:val="20"/>
          <w:szCs w:val="20"/>
        </w:rPr>
        <w:t>12</w:t>
      </w:r>
      <w:r w:rsidRPr="00F67098">
        <w:rPr>
          <w:i w:val="0"/>
          <w:iCs w:val="0"/>
          <w:color w:val="auto"/>
          <w:sz w:val="20"/>
          <w:szCs w:val="20"/>
        </w:rPr>
        <w:fldChar w:fldCharType="end"/>
      </w:r>
      <w:r w:rsidRPr="00F67098">
        <w:rPr>
          <w:i w:val="0"/>
          <w:iCs w:val="0"/>
          <w:color w:val="auto"/>
          <w:sz w:val="20"/>
          <w:szCs w:val="20"/>
        </w:rPr>
        <w:t>: Sprememba kazalnikov, ki prispevajo k ukrepu</w:t>
      </w:r>
      <w:bookmarkEnd w:id="34"/>
    </w:p>
    <w:p w14:paraId="5A217FCC" w14:textId="77777777" w:rsidR="00252AA9" w:rsidRPr="00252AA9" w:rsidRDefault="00252AA9" w:rsidP="00252AA9">
      <w:pPr>
        <w:spacing w:after="0"/>
      </w:pPr>
    </w:p>
    <w:tbl>
      <w:tblPr>
        <w:tblW w:w="9351" w:type="dxa"/>
        <w:jc w:val="center"/>
        <w:tblCellMar>
          <w:left w:w="70" w:type="dxa"/>
          <w:right w:w="70" w:type="dxa"/>
        </w:tblCellMar>
        <w:tblLook w:val="04A0" w:firstRow="1" w:lastRow="0" w:firstColumn="1" w:lastColumn="0" w:noHBand="0" w:noVBand="1"/>
      </w:tblPr>
      <w:tblGrid>
        <w:gridCol w:w="1271"/>
        <w:gridCol w:w="1576"/>
        <w:gridCol w:w="2824"/>
        <w:gridCol w:w="1076"/>
        <w:gridCol w:w="993"/>
        <w:gridCol w:w="1611"/>
      </w:tblGrid>
      <w:tr w:rsidR="00317046" w:rsidRPr="001D2761" w14:paraId="70CDC3C8" w14:textId="77777777" w:rsidTr="009E5A3A">
        <w:trPr>
          <w:trHeight w:val="725"/>
          <w:jc w:val="center"/>
        </w:trPr>
        <w:tc>
          <w:tcPr>
            <w:tcW w:w="127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4764FF3" w14:textId="77777777" w:rsidR="00317046" w:rsidRPr="009E5A3A" w:rsidRDefault="00317046" w:rsidP="00717857">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Kategorija regije</w:t>
            </w:r>
          </w:p>
        </w:tc>
        <w:tc>
          <w:tcPr>
            <w:tcW w:w="1576"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59E612FD" w14:textId="77777777" w:rsidR="00317046" w:rsidRPr="009E5A3A" w:rsidRDefault="00317046" w:rsidP="00717857">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Identifikator</w:t>
            </w:r>
          </w:p>
        </w:tc>
        <w:tc>
          <w:tcPr>
            <w:tcW w:w="2824"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6A735B75" w14:textId="77777777" w:rsidR="00317046" w:rsidRPr="009E5A3A" w:rsidRDefault="00317046" w:rsidP="00717857">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Kazalnik</w:t>
            </w:r>
          </w:p>
        </w:tc>
        <w:tc>
          <w:tcPr>
            <w:tcW w:w="1076"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668898C1" w14:textId="77777777" w:rsidR="00317046" w:rsidRPr="009E5A3A" w:rsidRDefault="00317046" w:rsidP="00717857">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Cilj (2029)</w:t>
            </w:r>
          </w:p>
        </w:tc>
        <w:tc>
          <w:tcPr>
            <w:tcW w:w="993"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21590A9E" w14:textId="77777777" w:rsidR="00317046" w:rsidRPr="009E5A3A" w:rsidRDefault="00317046" w:rsidP="00717857">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Merska enota</w:t>
            </w:r>
          </w:p>
        </w:tc>
        <w:tc>
          <w:tcPr>
            <w:tcW w:w="1611"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41B8FCF9" w14:textId="71D5D737" w:rsidR="00317046" w:rsidRPr="009E5A3A" w:rsidRDefault="00317046" w:rsidP="00317046">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Predlagana sprememba Cilj (2029)</w:t>
            </w:r>
          </w:p>
        </w:tc>
      </w:tr>
      <w:tr w:rsidR="00317046" w:rsidRPr="001D2761" w14:paraId="1D247E03" w14:textId="77777777" w:rsidTr="00CC78F8">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0DCBC01" w14:textId="77777777" w:rsidR="00317046" w:rsidRPr="000B3E1A" w:rsidRDefault="00317046" w:rsidP="00E46C20">
            <w:pPr>
              <w:spacing w:after="0" w:line="240" w:lineRule="auto"/>
              <w:jc w:val="both"/>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Bolj razvite regije</w:t>
            </w:r>
          </w:p>
        </w:tc>
        <w:tc>
          <w:tcPr>
            <w:tcW w:w="1576" w:type="dxa"/>
            <w:tcBorders>
              <w:top w:val="nil"/>
              <w:left w:val="nil"/>
              <w:bottom w:val="single" w:sz="4" w:space="0" w:color="auto"/>
              <w:right w:val="single" w:sz="4" w:space="0" w:color="auto"/>
            </w:tcBorders>
            <w:shd w:val="clear" w:color="auto" w:fill="auto"/>
            <w:noWrap/>
            <w:vAlign w:val="bottom"/>
            <w:hideMark/>
          </w:tcPr>
          <w:p w14:paraId="4F253F04" w14:textId="77777777" w:rsidR="00317046" w:rsidRPr="000B3E1A" w:rsidRDefault="00317046" w:rsidP="00717857">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RCO105</w:t>
            </w:r>
          </w:p>
        </w:tc>
        <w:tc>
          <w:tcPr>
            <w:tcW w:w="2824" w:type="dxa"/>
            <w:tcBorders>
              <w:top w:val="nil"/>
              <w:left w:val="nil"/>
              <w:bottom w:val="single" w:sz="4" w:space="0" w:color="auto"/>
              <w:right w:val="single" w:sz="4" w:space="0" w:color="auto"/>
            </w:tcBorders>
            <w:shd w:val="clear" w:color="auto" w:fill="auto"/>
            <w:noWrap/>
            <w:vAlign w:val="bottom"/>
            <w:hideMark/>
          </w:tcPr>
          <w:p w14:paraId="62EF4F52" w14:textId="77777777" w:rsidR="00317046" w:rsidRPr="000B3E1A" w:rsidRDefault="00317046" w:rsidP="00E46C20">
            <w:pPr>
              <w:spacing w:after="0" w:line="240" w:lineRule="auto"/>
              <w:jc w:val="both"/>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Rešitve za shranjevanje električne energije</w:t>
            </w:r>
          </w:p>
        </w:tc>
        <w:tc>
          <w:tcPr>
            <w:tcW w:w="1076" w:type="dxa"/>
            <w:tcBorders>
              <w:top w:val="nil"/>
              <w:left w:val="nil"/>
              <w:bottom w:val="single" w:sz="4" w:space="0" w:color="auto"/>
              <w:right w:val="single" w:sz="4" w:space="0" w:color="auto"/>
            </w:tcBorders>
            <w:shd w:val="clear" w:color="auto" w:fill="auto"/>
            <w:noWrap/>
            <w:vAlign w:val="bottom"/>
            <w:hideMark/>
          </w:tcPr>
          <w:p w14:paraId="11C2F8F3" w14:textId="77777777" w:rsidR="00317046" w:rsidRPr="000B3E1A" w:rsidRDefault="00317046" w:rsidP="00717857">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1</w:t>
            </w:r>
          </w:p>
        </w:tc>
        <w:tc>
          <w:tcPr>
            <w:tcW w:w="993" w:type="dxa"/>
            <w:tcBorders>
              <w:top w:val="nil"/>
              <w:left w:val="nil"/>
              <w:bottom w:val="single" w:sz="4" w:space="0" w:color="auto"/>
              <w:right w:val="single" w:sz="4" w:space="0" w:color="auto"/>
            </w:tcBorders>
            <w:shd w:val="clear" w:color="auto" w:fill="auto"/>
            <w:noWrap/>
            <w:vAlign w:val="bottom"/>
            <w:hideMark/>
          </w:tcPr>
          <w:p w14:paraId="7FD534ED" w14:textId="77777777" w:rsidR="00317046" w:rsidRPr="000B3E1A" w:rsidRDefault="00317046" w:rsidP="00717857">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MWh</w:t>
            </w:r>
          </w:p>
        </w:tc>
        <w:tc>
          <w:tcPr>
            <w:tcW w:w="1611" w:type="dxa"/>
            <w:tcBorders>
              <w:top w:val="nil"/>
              <w:left w:val="nil"/>
              <w:bottom w:val="single" w:sz="4" w:space="0" w:color="auto"/>
              <w:right w:val="single" w:sz="4" w:space="0" w:color="auto"/>
            </w:tcBorders>
            <w:shd w:val="clear" w:color="auto" w:fill="auto"/>
            <w:noWrap/>
            <w:vAlign w:val="bottom"/>
            <w:hideMark/>
          </w:tcPr>
          <w:p w14:paraId="3FE3B1B0" w14:textId="3F544461" w:rsidR="00317046" w:rsidRPr="000B3E1A" w:rsidRDefault="00AB33AB" w:rsidP="00717857">
            <w:pPr>
              <w:spacing w:after="0" w:line="240" w:lineRule="auto"/>
              <w:jc w:val="right"/>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1</w:t>
            </w:r>
          </w:p>
        </w:tc>
      </w:tr>
      <w:tr w:rsidR="00317046" w:rsidRPr="001D2761" w14:paraId="53BBD31F" w14:textId="77777777" w:rsidTr="00CC78F8">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C030119" w14:textId="77777777" w:rsidR="00317046" w:rsidRPr="000B3E1A" w:rsidRDefault="00317046" w:rsidP="00E46C20">
            <w:pPr>
              <w:spacing w:after="0" w:line="240" w:lineRule="auto"/>
              <w:jc w:val="both"/>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Manj razvite regije</w:t>
            </w:r>
          </w:p>
        </w:tc>
        <w:tc>
          <w:tcPr>
            <w:tcW w:w="1576" w:type="dxa"/>
            <w:tcBorders>
              <w:top w:val="nil"/>
              <w:left w:val="nil"/>
              <w:bottom w:val="single" w:sz="4" w:space="0" w:color="auto"/>
              <w:right w:val="single" w:sz="4" w:space="0" w:color="auto"/>
            </w:tcBorders>
            <w:shd w:val="clear" w:color="auto" w:fill="auto"/>
            <w:noWrap/>
            <w:vAlign w:val="bottom"/>
            <w:hideMark/>
          </w:tcPr>
          <w:p w14:paraId="3A4DE4EA" w14:textId="77777777" w:rsidR="00317046" w:rsidRPr="000B3E1A" w:rsidRDefault="00317046" w:rsidP="00717857">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RCO105</w:t>
            </w:r>
          </w:p>
        </w:tc>
        <w:tc>
          <w:tcPr>
            <w:tcW w:w="2824" w:type="dxa"/>
            <w:tcBorders>
              <w:top w:val="nil"/>
              <w:left w:val="nil"/>
              <w:bottom w:val="single" w:sz="4" w:space="0" w:color="auto"/>
              <w:right w:val="single" w:sz="4" w:space="0" w:color="auto"/>
            </w:tcBorders>
            <w:shd w:val="clear" w:color="auto" w:fill="auto"/>
            <w:noWrap/>
            <w:vAlign w:val="bottom"/>
            <w:hideMark/>
          </w:tcPr>
          <w:p w14:paraId="5953ADC3" w14:textId="77777777" w:rsidR="00317046" w:rsidRPr="000B3E1A" w:rsidRDefault="00317046" w:rsidP="00E46C20">
            <w:pPr>
              <w:spacing w:after="0" w:line="240" w:lineRule="auto"/>
              <w:jc w:val="both"/>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Rešitve za shranjevanje električne energije</w:t>
            </w:r>
          </w:p>
        </w:tc>
        <w:tc>
          <w:tcPr>
            <w:tcW w:w="1076" w:type="dxa"/>
            <w:tcBorders>
              <w:top w:val="nil"/>
              <w:left w:val="nil"/>
              <w:bottom w:val="single" w:sz="4" w:space="0" w:color="auto"/>
              <w:right w:val="single" w:sz="4" w:space="0" w:color="auto"/>
            </w:tcBorders>
            <w:shd w:val="clear" w:color="auto" w:fill="auto"/>
            <w:noWrap/>
            <w:vAlign w:val="bottom"/>
            <w:hideMark/>
          </w:tcPr>
          <w:p w14:paraId="7A3DF9FD" w14:textId="77777777" w:rsidR="00317046" w:rsidRPr="000B3E1A" w:rsidRDefault="00317046" w:rsidP="00717857">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2</w:t>
            </w:r>
          </w:p>
        </w:tc>
        <w:tc>
          <w:tcPr>
            <w:tcW w:w="993" w:type="dxa"/>
            <w:tcBorders>
              <w:top w:val="nil"/>
              <w:left w:val="nil"/>
              <w:bottom w:val="single" w:sz="4" w:space="0" w:color="auto"/>
              <w:right w:val="single" w:sz="4" w:space="0" w:color="auto"/>
            </w:tcBorders>
            <w:shd w:val="clear" w:color="auto" w:fill="auto"/>
            <w:noWrap/>
            <w:vAlign w:val="bottom"/>
            <w:hideMark/>
          </w:tcPr>
          <w:p w14:paraId="36AC4B2F" w14:textId="77777777" w:rsidR="00317046" w:rsidRPr="000B3E1A" w:rsidRDefault="00317046" w:rsidP="00717857">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MWh</w:t>
            </w:r>
          </w:p>
        </w:tc>
        <w:tc>
          <w:tcPr>
            <w:tcW w:w="1611" w:type="dxa"/>
            <w:tcBorders>
              <w:top w:val="nil"/>
              <w:left w:val="nil"/>
              <w:bottom w:val="single" w:sz="4" w:space="0" w:color="auto"/>
              <w:right w:val="single" w:sz="4" w:space="0" w:color="auto"/>
            </w:tcBorders>
            <w:shd w:val="clear" w:color="auto" w:fill="auto"/>
            <w:noWrap/>
            <w:vAlign w:val="bottom"/>
            <w:hideMark/>
          </w:tcPr>
          <w:p w14:paraId="77DF7C98" w14:textId="639A34EB" w:rsidR="00317046" w:rsidRPr="000B3E1A" w:rsidRDefault="00017693" w:rsidP="00717857">
            <w:pPr>
              <w:spacing w:after="0" w:line="240" w:lineRule="auto"/>
              <w:jc w:val="right"/>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2</w:t>
            </w:r>
          </w:p>
        </w:tc>
      </w:tr>
      <w:tr w:rsidR="00317046" w:rsidRPr="001D2761" w14:paraId="0FB5F115" w14:textId="77777777" w:rsidTr="00CC78F8">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79F287F" w14:textId="77777777" w:rsidR="00317046" w:rsidRPr="000B3E1A" w:rsidRDefault="00317046" w:rsidP="00E46C20">
            <w:pPr>
              <w:spacing w:after="0" w:line="240" w:lineRule="auto"/>
              <w:jc w:val="both"/>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Bolj razvite regije</w:t>
            </w:r>
          </w:p>
        </w:tc>
        <w:tc>
          <w:tcPr>
            <w:tcW w:w="1576" w:type="dxa"/>
            <w:tcBorders>
              <w:top w:val="nil"/>
              <w:left w:val="nil"/>
              <w:bottom w:val="single" w:sz="4" w:space="0" w:color="auto"/>
              <w:right w:val="single" w:sz="4" w:space="0" w:color="auto"/>
            </w:tcBorders>
            <w:shd w:val="clear" w:color="auto" w:fill="auto"/>
            <w:noWrap/>
            <w:vAlign w:val="bottom"/>
            <w:hideMark/>
          </w:tcPr>
          <w:p w14:paraId="5FE180FA" w14:textId="77777777" w:rsidR="00317046" w:rsidRPr="000B3E1A" w:rsidRDefault="00317046" w:rsidP="00717857">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RCR34</w:t>
            </w:r>
          </w:p>
        </w:tc>
        <w:tc>
          <w:tcPr>
            <w:tcW w:w="2824" w:type="dxa"/>
            <w:tcBorders>
              <w:top w:val="nil"/>
              <w:left w:val="nil"/>
              <w:bottom w:val="single" w:sz="4" w:space="0" w:color="auto"/>
              <w:right w:val="single" w:sz="4" w:space="0" w:color="auto"/>
            </w:tcBorders>
            <w:shd w:val="clear" w:color="auto" w:fill="auto"/>
            <w:noWrap/>
            <w:vAlign w:val="bottom"/>
            <w:hideMark/>
          </w:tcPr>
          <w:p w14:paraId="691DE5C9" w14:textId="77777777" w:rsidR="00317046" w:rsidRPr="000B3E1A" w:rsidRDefault="00317046" w:rsidP="00E46C20">
            <w:pPr>
              <w:spacing w:after="0" w:line="240" w:lineRule="auto"/>
              <w:jc w:val="both"/>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Uvedba projektov za pametne energetske sisteme</w:t>
            </w:r>
          </w:p>
        </w:tc>
        <w:tc>
          <w:tcPr>
            <w:tcW w:w="1076" w:type="dxa"/>
            <w:tcBorders>
              <w:top w:val="nil"/>
              <w:left w:val="nil"/>
              <w:bottom w:val="single" w:sz="4" w:space="0" w:color="auto"/>
              <w:right w:val="single" w:sz="4" w:space="0" w:color="auto"/>
            </w:tcBorders>
            <w:shd w:val="clear" w:color="auto" w:fill="auto"/>
            <w:noWrap/>
            <w:vAlign w:val="bottom"/>
            <w:hideMark/>
          </w:tcPr>
          <w:p w14:paraId="3B055099" w14:textId="77777777" w:rsidR="00317046" w:rsidRPr="000B3E1A" w:rsidRDefault="00317046" w:rsidP="00717857">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4</w:t>
            </w:r>
          </w:p>
        </w:tc>
        <w:tc>
          <w:tcPr>
            <w:tcW w:w="993" w:type="dxa"/>
            <w:tcBorders>
              <w:top w:val="nil"/>
              <w:left w:val="nil"/>
              <w:bottom w:val="single" w:sz="4" w:space="0" w:color="auto"/>
              <w:right w:val="single" w:sz="4" w:space="0" w:color="auto"/>
            </w:tcBorders>
            <w:shd w:val="clear" w:color="auto" w:fill="auto"/>
            <w:noWrap/>
            <w:vAlign w:val="bottom"/>
            <w:hideMark/>
          </w:tcPr>
          <w:p w14:paraId="55F1CBBB" w14:textId="77777777" w:rsidR="00317046" w:rsidRPr="000B3E1A" w:rsidRDefault="00317046" w:rsidP="00717857">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projekti</w:t>
            </w:r>
          </w:p>
        </w:tc>
        <w:tc>
          <w:tcPr>
            <w:tcW w:w="1611" w:type="dxa"/>
            <w:tcBorders>
              <w:top w:val="nil"/>
              <w:left w:val="nil"/>
              <w:bottom w:val="single" w:sz="4" w:space="0" w:color="auto"/>
              <w:right w:val="single" w:sz="4" w:space="0" w:color="auto"/>
            </w:tcBorders>
            <w:shd w:val="clear" w:color="auto" w:fill="auto"/>
            <w:noWrap/>
            <w:vAlign w:val="bottom"/>
            <w:hideMark/>
          </w:tcPr>
          <w:p w14:paraId="7F6CE5B9" w14:textId="77777777" w:rsidR="00317046" w:rsidRPr="000B3E1A" w:rsidRDefault="00317046" w:rsidP="00717857">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1</w:t>
            </w:r>
          </w:p>
        </w:tc>
      </w:tr>
      <w:tr w:rsidR="00317046" w:rsidRPr="001D2761" w14:paraId="7B08AC77" w14:textId="77777777" w:rsidTr="00CC78F8">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1EE644E" w14:textId="77777777" w:rsidR="00317046" w:rsidRPr="000B3E1A" w:rsidRDefault="00317046" w:rsidP="00E46C20">
            <w:pPr>
              <w:spacing w:after="0" w:line="240" w:lineRule="auto"/>
              <w:jc w:val="both"/>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Manj razvite regije</w:t>
            </w:r>
          </w:p>
        </w:tc>
        <w:tc>
          <w:tcPr>
            <w:tcW w:w="1576" w:type="dxa"/>
            <w:tcBorders>
              <w:top w:val="nil"/>
              <w:left w:val="nil"/>
              <w:bottom w:val="single" w:sz="4" w:space="0" w:color="auto"/>
              <w:right w:val="single" w:sz="4" w:space="0" w:color="auto"/>
            </w:tcBorders>
            <w:shd w:val="clear" w:color="auto" w:fill="auto"/>
            <w:noWrap/>
            <w:vAlign w:val="bottom"/>
            <w:hideMark/>
          </w:tcPr>
          <w:p w14:paraId="418AEE96" w14:textId="77777777" w:rsidR="00317046" w:rsidRPr="000B3E1A" w:rsidRDefault="00317046" w:rsidP="00717857">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RCR34</w:t>
            </w:r>
          </w:p>
        </w:tc>
        <w:tc>
          <w:tcPr>
            <w:tcW w:w="2824" w:type="dxa"/>
            <w:tcBorders>
              <w:top w:val="nil"/>
              <w:left w:val="nil"/>
              <w:bottom w:val="single" w:sz="4" w:space="0" w:color="auto"/>
              <w:right w:val="single" w:sz="4" w:space="0" w:color="auto"/>
            </w:tcBorders>
            <w:shd w:val="clear" w:color="auto" w:fill="auto"/>
            <w:noWrap/>
            <w:vAlign w:val="bottom"/>
            <w:hideMark/>
          </w:tcPr>
          <w:p w14:paraId="09EFB9B3" w14:textId="77777777" w:rsidR="00317046" w:rsidRPr="000B3E1A" w:rsidRDefault="00317046" w:rsidP="00E46C20">
            <w:pPr>
              <w:spacing w:after="0" w:line="240" w:lineRule="auto"/>
              <w:jc w:val="both"/>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Uvedba projektov za pametne energetske sisteme</w:t>
            </w:r>
          </w:p>
        </w:tc>
        <w:tc>
          <w:tcPr>
            <w:tcW w:w="1076" w:type="dxa"/>
            <w:tcBorders>
              <w:top w:val="nil"/>
              <w:left w:val="nil"/>
              <w:bottom w:val="single" w:sz="4" w:space="0" w:color="auto"/>
              <w:right w:val="single" w:sz="4" w:space="0" w:color="auto"/>
            </w:tcBorders>
            <w:shd w:val="clear" w:color="auto" w:fill="auto"/>
            <w:noWrap/>
            <w:vAlign w:val="bottom"/>
            <w:hideMark/>
          </w:tcPr>
          <w:p w14:paraId="4CB3CD43" w14:textId="77777777" w:rsidR="00317046" w:rsidRPr="000B3E1A" w:rsidRDefault="00317046" w:rsidP="00717857">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16</w:t>
            </w:r>
          </w:p>
        </w:tc>
        <w:tc>
          <w:tcPr>
            <w:tcW w:w="993" w:type="dxa"/>
            <w:tcBorders>
              <w:top w:val="nil"/>
              <w:left w:val="nil"/>
              <w:bottom w:val="single" w:sz="4" w:space="0" w:color="auto"/>
              <w:right w:val="single" w:sz="4" w:space="0" w:color="auto"/>
            </w:tcBorders>
            <w:shd w:val="clear" w:color="auto" w:fill="auto"/>
            <w:noWrap/>
            <w:vAlign w:val="bottom"/>
            <w:hideMark/>
          </w:tcPr>
          <w:p w14:paraId="28D656E3" w14:textId="77777777" w:rsidR="00317046" w:rsidRPr="000B3E1A" w:rsidRDefault="00317046" w:rsidP="00717857">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projekti</w:t>
            </w:r>
          </w:p>
        </w:tc>
        <w:tc>
          <w:tcPr>
            <w:tcW w:w="1611" w:type="dxa"/>
            <w:tcBorders>
              <w:top w:val="nil"/>
              <w:left w:val="nil"/>
              <w:bottom w:val="single" w:sz="4" w:space="0" w:color="auto"/>
              <w:right w:val="single" w:sz="4" w:space="0" w:color="auto"/>
            </w:tcBorders>
            <w:shd w:val="clear" w:color="auto" w:fill="auto"/>
            <w:noWrap/>
            <w:vAlign w:val="bottom"/>
            <w:hideMark/>
          </w:tcPr>
          <w:p w14:paraId="6525ED2C" w14:textId="00B9BC7B" w:rsidR="00317046" w:rsidRPr="000B3E1A" w:rsidRDefault="00017693" w:rsidP="00717857">
            <w:pPr>
              <w:spacing w:after="0" w:line="240" w:lineRule="auto"/>
              <w:jc w:val="right"/>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2</w:t>
            </w:r>
          </w:p>
        </w:tc>
      </w:tr>
    </w:tbl>
    <w:p w14:paraId="01A3A9D6" w14:textId="77777777" w:rsidR="00717857" w:rsidRDefault="00717857" w:rsidP="006A1BB2">
      <w:pPr>
        <w:spacing w:after="0"/>
        <w:jc w:val="both"/>
        <w:rPr>
          <w:rFonts w:cstheme="minorHAnsi"/>
          <w:b/>
          <w:bCs/>
        </w:rPr>
      </w:pPr>
    </w:p>
    <w:p w14:paraId="16E40891" w14:textId="77777777" w:rsidR="00E82112" w:rsidRPr="0013137C" w:rsidRDefault="00E82112" w:rsidP="006A1BB2">
      <w:pPr>
        <w:spacing w:after="0"/>
        <w:jc w:val="both"/>
        <w:rPr>
          <w:rFonts w:cstheme="minorHAnsi"/>
        </w:rPr>
      </w:pPr>
      <w:r w:rsidRPr="0013137C">
        <w:rPr>
          <w:rFonts w:cstheme="minorHAnsi"/>
        </w:rPr>
        <w:t xml:space="preserve">Predlagana je vključitev novega ukrepa Spodbujanje naložb v pametna omrežja, zlasti v distribucijsko omrežje za električno energijo v vrednosti 13 mio EUR. </w:t>
      </w:r>
    </w:p>
    <w:p w14:paraId="3B7DFF0C" w14:textId="77777777" w:rsidR="006A1BB2" w:rsidRPr="0013137C" w:rsidRDefault="006A1BB2" w:rsidP="006A1BB2">
      <w:pPr>
        <w:spacing w:after="0"/>
        <w:jc w:val="both"/>
        <w:rPr>
          <w:rFonts w:cstheme="minorHAnsi"/>
        </w:rPr>
      </w:pPr>
    </w:p>
    <w:p w14:paraId="3041618C" w14:textId="59B9A876" w:rsidR="006A1BB2" w:rsidRDefault="00E82112" w:rsidP="006A1BB2">
      <w:pPr>
        <w:spacing w:after="0"/>
        <w:jc w:val="both"/>
        <w:rPr>
          <w:rFonts w:cstheme="minorHAnsi"/>
        </w:rPr>
      </w:pPr>
      <w:r w:rsidRPr="0013137C">
        <w:rPr>
          <w:rFonts w:cstheme="minorHAnsi"/>
        </w:rPr>
        <w:t xml:space="preserve">Namen spodbujanja tovrstnih naložb je narediti distribucijsko omrežje zmogljivejše, odpornejše in robustnejše za priklop razpršenih virov OVE ter za pospeševanje </w:t>
      </w:r>
      <w:proofErr w:type="spellStart"/>
      <w:r w:rsidRPr="0013137C">
        <w:rPr>
          <w:rFonts w:cstheme="minorHAnsi"/>
        </w:rPr>
        <w:t>brezemisijske</w:t>
      </w:r>
      <w:proofErr w:type="spellEnd"/>
      <w:r w:rsidRPr="0013137C">
        <w:rPr>
          <w:rFonts w:cstheme="minorHAnsi"/>
        </w:rPr>
        <w:t xml:space="preserve"> mobilnosti. V tem okviru menimo, da bo moral biti ukrep usmerjen ne le v nadgradnjo </w:t>
      </w:r>
      <w:r w:rsidRPr="002E5665">
        <w:rPr>
          <w:rFonts w:cstheme="minorHAnsi"/>
        </w:rPr>
        <w:t>infrastrukture, ampak predvsem v pametno</w:t>
      </w:r>
      <w:r w:rsidRPr="0013137C">
        <w:rPr>
          <w:rFonts w:cstheme="minorHAnsi"/>
        </w:rPr>
        <w:t xml:space="preserve"> upravljanje ponudbe in povpraševanja po električni energiji, ki bo s prehodom na OVE potrebovalo bistveno večje kapacitete za prenos EE ter bo moralo s pametnim upravljanjem (upoštevajoč tudi hranjenje energije) postati bistveno prožnejše.</w:t>
      </w:r>
    </w:p>
    <w:p w14:paraId="534B3CBE" w14:textId="77777777" w:rsidR="0054210C" w:rsidRPr="0013137C" w:rsidRDefault="0054210C" w:rsidP="006A1BB2">
      <w:pPr>
        <w:spacing w:after="0"/>
        <w:jc w:val="both"/>
        <w:rPr>
          <w:rFonts w:cstheme="minorHAnsi"/>
        </w:rPr>
      </w:pPr>
    </w:p>
    <w:p w14:paraId="5E3403D4" w14:textId="77777777" w:rsidR="00E82112" w:rsidRPr="0013137C" w:rsidRDefault="00E82112" w:rsidP="006A1BB2">
      <w:pPr>
        <w:spacing w:after="0"/>
        <w:jc w:val="both"/>
        <w:rPr>
          <w:rFonts w:cstheme="minorHAnsi"/>
        </w:rPr>
      </w:pPr>
      <w:r w:rsidRPr="0013137C">
        <w:rPr>
          <w:rFonts w:cstheme="minorHAnsi"/>
        </w:rPr>
        <w:t xml:space="preserve">Predvideni potencialni upravičenci na tem ukrepu bi bile družbe, ki imajo v lasti elektroenergetsko omrežje (elektrodistribucijska podjetja) ter operater distribucijskega omrežja (ELES </w:t>
      </w:r>
      <w:proofErr w:type="spellStart"/>
      <w:r w:rsidRPr="0013137C">
        <w:rPr>
          <w:rFonts w:cstheme="minorHAnsi"/>
        </w:rPr>
        <w:t>d.d</w:t>
      </w:r>
      <w:proofErr w:type="spellEnd"/>
      <w:r w:rsidRPr="0013137C">
        <w:rPr>
          <w:rFonts w:cstheme="minorHAnsi"/>
        </w:rPr>
        <w:t xml:space="preserve">.). </w:t>
      </w:r>
    </w:p>
    <w:p w14:paraId="44731E20" w14:textId="77777777" w:rsidR="006A1BB2" w:rsidRPr="0013137C" w:rsidRDefault="006A1BB2" w:rsidP="006A1BB2">
      <w:pPr>
        <w:spacing w:after="0"/>
        <w:jc w:val="both"/>
        <w:rPr>
          <w:rFonts w:cstheme="minorHAnsi"/>
        </w:rPr>
      </w:pPr>
    </w:p>
    <w:p w14:paraId="37AD18A6" w14:textId="5AE4DFA2" w:rsidR="00E82112" w:rsidRPr="003C25FD" w:rsidRDefault="00E82112" w:rsidP="00CF38D9">
      <w:pPr>
        <w:spacing w:after="0"/>
        <w:jc w:val="both"/>
        <w:rPr>
          <w:rFonts w:cstheme="minorHAnsi"/>
        </w:rPr>
      </w:pPr>
      <w:r w:rsidRPr="003C25FD">
        <w:rPr>
          <w:rFonts w:cstheme="minorHAnsi"/>
        </w:rPr>
        <w:t>Sredstva za spodbujanje naložb v pametna omrežja, zlasti v distribucijsko omrežje EE, se zagotovit znotraj specifičnega cilja RSO 2.3.</w:t>
      </w:r>
    </w:p>
    <w:p w14:paraId="603B5F61" w14:textId="77777777" w:rsidR="000756F7" w:rsidRPr="000756F7" w:rsidRDefault="000756F7" w:rsidP="00CF38D9">
      <w:pPr>
        <w:spacing w:after="0"/>
        <w:jc w:val="both"/>
        <w:rPr>
          <w:rFonts w:cstheme="minorHAnsi"/>
          <w:b/>
          <w:bCs/>
        </w:rPr>
      </w:pPr>
    </w:p>
    <w:p w14:paraId="0BA415FF" w14:textId="22EEBCCB" w:rsidR="00313C2B" w:rsidRPr="00B9615C" w:rsidRDefault="00313C2B" w:rsidP="00B9615C">
      <w:pPr>
        <w:pStyle w:val="Odstavekseznama"/>
        <w:keepNext/>
        <w:keepLines/>
        <w:numPr>
          <w:ilvl w:val="1"/>
          <w:numId w:val="23"/>
        </w:numPr>
        <w:spacing w:before="40" w:after="0"/>
        <w:outlineLvl w:val="1"/>
        <w:rPr>
          <w:rFonts w:eastAsiaTheme="majorEastAsia" w:cstheme="majorBidi"/>
          <w:color w:val="4472C4" w:themeColor="accent1"/>
          <w:sz w:val="24"/>
          <w:szCs w:val="26"/>
        </w:rPr>
      </w:pPr>
      <w:bookmarkStart w:id="35" w:name="_Toc191383852"/>
      <w:r w:rsidRPr="00B9615C">
        <w:rPr>
          <w:rFonts w:eastAsiaTheme="majorEastAsia" w:cstheme="majorBidi"/>
          <w:color w:val="4472C4" w:themeColor="accent1"/>
          <w:sz w:val="24"/>
          <w:szCs w:val="26"/>
        </w:rPr>
        <w:t>Cilj politike 4: Od financiranja ukrepov za zaposlovanje k ukrepom za dvig kompetenc in izboljšanje zaposljivosti</w:t>
      </w:r>
      <w:bookmarkEnd w:id="35"/>
      <w:r w:rsidRPr="00B9615C">
        <w:rPr>
          <w:rFonts w:eastAsiaTheme="majorEastAsia" w:cstheme="majorBidi"/>
          <w:color w:val="4472C4" w:themeColor="accent1"/>
          <w:sz w:val="24"/>
          <w:szCs w:val="26"/>
        </w:rPr>
        <w:t xml:space="preserve"> </w:t>
      </w:r>
    </w:p>
    <w:p w14:paraId="30EC8618" w14:textId="77777777" w:rsidR="00313C2B" w:rsidRPr="00313C2B" w:rsidRDefault="00313C2B" w:rsidP="00313C2B">
      <w:pPr>
        <w:spacing w:after="0"/>
        <w:jc w:val="both"/>
        <w:rPr>
          <w:rFonts w:cstheme="minorHAnsi"/>
        </w:rPr>
      </w:pPr>
    </w:p>
    <w:p w14:paraId="7CE111DE" w14:textId="77777777" w:rsidR="00313C2B" w:rsidRPr="00313C2B" w:rsidRDefault="00313C2B" w:rsidP="00313C2B">
      <w:pPr>
        <w:spacing w:after="0"/>
        <w:jc w:val="both"/>
        <w:rPr>
          <w:rFonts w:cstheme="minorHAnsi"/>
        </w:rPr>
      </w:pPr>
      <w:r w:rsidRPr="00313C2B">
        <w:rPr>
          <w:rFonts w:cstheme="minorHAnsi"/>
          <w:i/>
          <w:iCs/>
        </w:rPr>
        <w:t>Poročilo o produktivnosti 2023</w:t>
      </w:r>
      <w:r w:rsidRPr="00313C2B">
        <w:rPr>
          <w:rFonts w:cstheme="minorHAnsi"/>
        </w:rPr>
        <w:t xml:space="preserve"> izpostavlja ključne razvojne izzive Slovenije na področju gospodarske konkurenčnosti, inovacijske dejavnosti in trajnostne preobrazbe. Poročilo poudarja, da je rast produktivnosti v Sloveniji prepočasna za učinkovito zapiranje razvojne vrzeli v primerjavi z najbolj razvitimi državami EU, med drugim poročilo opozarja na kritično pomanjkanje visoko usposobljenih kadrov, zlasti v sektorjih, ki so ključni za digitalno in zeleno preobrazbo. Slovenija mora povečati vlaganja v izobraževanje, prekvalifikacije in pridobivanje spretnosti, ki so usklajene z zahtevami prihodnosti.</w:t>
      </w:r>
      <w:r w:rsidRPr="00313C2B">
        <w:rPr>
          <w:rFonts w:cstheme="minorHAnsi"/>
          <w:vertAlign w:val="superscript"/>
        </w:rPr>
        <w:footnoteReference w:id="10"/>
      </w:r>
      <w:r w:rsidRPr="00313C2B">
        <w:rPr>
          <w:rFonts w:cstheme="minorHAnsi"/>
        </w:rPr>
        <w:t xml:space="preserve"> </w:t>
      </w:r>
    </w:p>
    <w:p w14:paraId="617778F8" w14:textId="77777777" w:rsidR="00313C2B" w:rsidRPr="00313C2B" w:rsidRDefault="00313C2B" w:rsidP="00313C2B">
      <w:pPr>
        <w:spacing w:after="0"/>
        <w:jc w:val="both"/>
        <w:rPr>
          <w:rFonts w:cstheme="minorHAnsi"/>
        </w:rPr>
      </w:pPr>
    </w:p>
    <w:p w14:paraId="3F689DBB" w14:textId="77777777" w:rsidR="00313C2B" w:rsidRPr="00313C2B" w:rsidRDefault="00313C2B" w:rsidP="00313C2B">
      <w:pPr>
        <w:spacing w:after="0"/>
        <w:jc w:val="both"/>
        <w:rPr>
          <w:rFonts w:cstheme="minorHAnsi"/>
        </w:rPr>
      </w:pPr>
      <w:r w:rsidRPr="00313C2B">
        <w:rPr>
          <w:rFonts w:cstheme="minorHAnsi"/>
        </w:rPr>
        <w:lastRenderedPageBreak/>
        <w:t xml:space="preserve">Prav tako t. i. </w:t>
      </w:r>
      <w:proofErr w:type="spellStart"/>
      <w:r w:rsidRPr="00313C2B">
        <w:rPr>
          <w:rFonts w:cstheme="minorHAnsi"/>
        </w:rPr>
        <w:t>Draghijevo</w:t>
      </w:r>
      <w:proofErr w:type="spellEnd"/>
      <w:r w:rsidRPr="00313C2B">
        <w:rPr>
          <w:rFonts w:cstheme="minorHAnsi"/>
        </w:rPr>
        <w:t xml:space="preserve"> poročilo, </w:t>
      </w:r>
      <w:r w:rsidRPr="00313C2B">
        <w:rPr>
          <w:rFonts w:cstheme="minorHAnsi"/>
          <w:i/>
          <w:iCs/>
        </w:rPr>
        <w:t>Prihodnost evropske konkurenčnosti</w:t>
      </w:r>
      <w:r w:rsidRPr="00313C2B">
        <w:rPr>
          <w:rFonts w:cstheme="minorHAnsi"/>
          <w:vertAlign w:val="superscript"/>
        </w:rPr>
        <w:footnoteReference w:id="11"/>
      </w:r>
      <w:r w:rsidRPr="00313C2B">
        <w:rPr>
          <w:rFonts w:cstheme="minorHAnsi"/>
        </w:rPr>
        <w:t xml:space="preserve">, poudarja pomen razvoja in proizvodnje strateških tehnologij, ki zahtevata visoko kvalificirano delovno silo, kar predstavlja velik izziv. </w:t>
      </w:r>
      <w:proofErr w:type="spellStart"/>
      <w:r w:rsidRPr="00313C2B">
        <w:rPr>
          <w:rFonts w:cstheme="minorHAnsi"/>
        </w:rPr>
        <w:t>Draghijevo</w:t>
      </w:r>
      <w:proofErr w:type="spellEnd"/>
      <w:r w:rsidRPr="00313C2B">
        <w:rPr>
          <w:rFonts w:cstheme="minorHAnsi"/>
        </w:rPr>
        <w:t xml:space="preserve"> poročilo priporoča okrepitev programov za izobraževanje, usposabljanje in prekvalifikacijo, ki so ključni za podporo strateškim sektorjem. </w:t>
      </w:r>
    </w:p>
    <w:p w14:paraId="2B77EE65" w14:textId="77777777" w:rsidR="00313C2B" w:rsidRPr="00313C2B" w:rsidRDefault="00313C2B" w:rsidP="00313C2B">
      <w:pPr>
        <w:spacing w:after="0"/>
        <w:jc w:val="both"/>
        <w:rPr>
          <w:rFonts w:cstheme="minorHAnsi"/>
        </w:rPr>
      </w:pPr>
    </w:p>
    <w:p w14:paraId="33015BE7" w14:textId="77777777" w:rsidR="00313C2B" w:rsidRPr="00313C2B" w:rsidRDefault="00313C2B" w:rsidP="00313C2B">
      <w:pPr>
        <w:spacing w:after="0"/>
        <w:jc w:val="both"/>
        <w:rPr>
          <w:rFonts w:cstheme="minorHAnsi"/>
        </w:rPr>
      </w:pPr>
      <w:r w:rsidRPr="00313C2B">
        <w:rPr>
          <w:rFonts w:cstheme="minorHAnsi"/>
        </w:rPr>
        <w:t xml:space="preserve">UMAR-jeva </w:t>
      </w:r>
      <w:r w:rsidRPr="00313C2B">
        <w:rPr>
          <w:rFonts w:cstheme="minorHAnsi"/>
          <w:i/>
          <w:iCs/>
        </w:rPr>
        <w:t>Jesenska napoved gospodarskih gibanj 2024</w:t>
      </w:r>
      <w:r w:rsidRPr="00313C2B">
        <w:rPr>
          <w:rFonts w:cstheme="minorHAnsi"/>
          <w:vertAlign w:val="superscript"/>
        </w:rPr>
        <w:footnoteReference w:id="12"/>
      </w:r>
      <w:r w:rsidRPr="00313C2B">
        <w:rPr>
          <w:rFonts w:cstheme="minorHAnsi"/>
        </w:rPr>
        <w:t xml:space="preserve"> s podatki predstavlja nadaljevanje umirjanja medletne rasti zaposlenosti, upadanja števila registriranih brezposelnih oseb ob hkratnem pomanjkanju delovne sile v večini dejavnosti. Rast zaposlenosti in zmanjševanje brezposelnosti se je do konca leta 2024 nadaljevala; </w:t>
      </w:r>
      <w:r w:rsidRPr="00313C2B">
        <w:rPr>
          <w:rFonts w:cstheme="minorHAnsi"/>
          <w:b/>
          <w:bCs/>
        </w:rPr>
        <w:t>veliko pomanjkanje delovne sile</w:t>
      </w:r>
      <w:r w:rsidRPr="00313C2B">
        <w:rPr>
          <w:rFonts w:cstheme="minorHAnsi"/>
        </w:rPr>
        <w:t xml:space="preserve"> pa tudi v prihodnjih dveh letih ne bo omogočalo vidnejše rasti zaposlenosti. V prihodnjih dveh letih se, kljub predvideni višji gospodarski rasti, zaposlenost ne bo bistveno povečala predvsem zaradi omejitev na strani ponudbe delovne sile in tudi že dosežene visoke ravni zaposlenosti. </w:t>
      </w:r>
    </w:p>
    <w:p w14:paraId="562F8422" w14:textId="77777777" w:rsidR="00313C2B" w:rsidRPr="00313C2B" w:rsidRDefault="00313C2B" w:rsidP="00313C2B">
      <w:pPr>
        <w:spacing w:after="0"/>
        <w:jc w:val="both"/>
        <w:rPr>
          <w:rFonts w:cstheme="minorHAnsi"/>
        </w:rPr>
      </w:pPr>
    </w:p>
    <w:p w14:paraId="77ECF6AC" w14:textId="77777777" w:rsidR="00313C2B" w:rsidRDefault="00313C2B" w:rsidP="00313C2B">
      <w:pPr>
        <w:keepNext/>
        <w:spacing w:after="0" w:line="240" w:lineRule="auto"/>
        <w:jc w:val="center"/>
        <w:rPr>
          <w:rFonts w:cstheme="minorHAnsi"/>
          <w:szCs w:val="20"/>
        </w:rPr>
      </w:pPr>
      <w:bookmarkStart w:id="36" w:name="_Toc187242829"/>
      <w:r w:rsidRPr="00F67098">
        <w:rPr>
          <w:rFonts w:cstheme="minorHAnsi"/>
          <w:szCs w:val="20"/>
        </w:rPr>
        <w:t xml:space="preserve">Slika </w:t>
      </w:r>
      <w:r w:rsidRPr="00F67098">
        <w:rPr>
          <w:rFonts w:cstheme="minorHAnsi"/>
          <w:szCs w:val="20"/>
        </w:rPr>
        <w:fldChar w:fldCharType="begin"/>
      </w:r>
      <w:r w:rsidRPr="00F67098">
        <w:rPr>
          <w:rFonts w:cstheme="minorHAnsi"/>
          <w:szCs w:val="20"/>
        </w:rPr>
        <w:instrText xml:space="preserve"> SEQ Slika \* ARABIC </w:instrText>
      </w:r>
      <w:r w:rsidRPr="00F67098">
        <w:rPr>
          <w:rFonts w:cstheme="minorHAnsi"/>
          <w:szCs w:val="20"/>
        </w:rPr>
        <w:fldChar w:fldCharType="separate"/>
      </w:r>
      <w:r w:rsidR="006A4706">
        <w:rPr>
          <w:rFonts w:cstheme="minorHAnsi"/>
          <w:noProof/>
          <w:szCs w:val="20"/>
        </w:rPr>
        <w:t>1</w:t>
      </w:r>
      <w:r w:rsidRPr="00F67098">
        <w:rPr>
          <w:rFonts w:cstheme="minorHAnsi"/>
          <w:szCs w:val="20"/>
        </w:rPr>
        <w:fldChar w:fldCharType="end"/>
      </w:r>
      <w:r w:rsidRPr="00F67098">
        <w:rPr>
          <w:rFonts w:cstheme="minorHAnsi"/>
          <w:szCs w:val="20"/>
        </w:rPr>
        <w:t>: Zaposlenost je rekordno visoka, brezposelnost pa najnižja doslej, nujna dinamika se je od sredine leta 2023 precej umirila</w:t>
      </w:r>
      <w:bookmarkEnd w:id="36"/>
    </w:p>
    <w:p w14:paraId="35734282" w14:textId="77777777" w:rsidR="00F67098" w:rsidRPr="00F67098" w:rsidRDefault="00F67098" w:rsidP="00F67098">
      <w:pPr>
        <w:keepNext/>
        <w:spacing w:after="0" w:line="240" w:lineRule="auto"/>
        <w:rPr>
          <w:rFonts w:cstheme="minorHAnsi"/>
          <w:szCs w:val="20"/>
        </w:rPr>
      </w:pPr>
    </w:p>
    <w:p w14:paraId="58C01B05" w14:textId="77777777" w:rsidR="00313C2B" w:rsidRPr="00313C2B" w:rsidRDefault="00313C2B" w:rsidP="00313C2B">
      <w:pPr>
        <w:keepNext/>
        <w:spacing w:after="0"/>
        <w:jc w:val="center"/>
        <w:rPr>
          <w:rFonts w:cstheme="minorHAnsi"/>
        </w:rPr>
      </w:pPr>
      <w:r w:rsidRPr="00313C2B">
        <w:rPr>
          <w:rFonts w:cstheme="minorHAnsi"/>
          <w:noProof/>
        </w:rPr>
        <w:drawing>
          <wp:inline distT="0" distB="0" distL="0" distR="0" wp14:anchorId="7D056A14" wp14:editId="53C38058">
            <wp:extent cx="4454417" cy="3276000"/>
            <wp:effectExtent l="0" t="0" r="3810" b="635"/>
            <wp:docPr id="913059994"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59994" name="Slika 1">
                      <a:extLst>
                        <a:ext uri="{C183D7F6-B498-43B3-948B-1728B52AA6E4}">
                          <adec:decorative xmlns:adec="http://schemas.microsoft.com/office/drawing/2017/decorative" val="1"/>
                        </a:ext>
                      </a:extLst>
                    </pic:cNvPr>
                    <pic:cNvPicPr/>
                  </pic:nvPicPr>
                  <pic:blipFill>
                    <a:blip r:embed="rId12"/>
                    <a:stretch>
                      <a:fillRect/>
                    </a:stretch>
                  </pic:blipFill>
                  <pic:spPr>
                    <a:xfrm>
                      <a:off x="0" y="0"/>
                      <a:ext cx="4454417" cy="3276000"/>
                    </a:xfrm>
                    <a:prstGeom prst="rect">
                      <a:avLst/>
                    </a:prstGeom>
                  </pic:spPr>
                </pic:pic>
              </a:graphicData>
            </a:graphic>
          </wp:inline>
        </w:drawing>
      </w:r>
    </w:p>
    <w:p w14:paraId="5CD97671" w14:textId="21CB46C0" w:rsidR="00313C2B" w:rsidRPr="00F67098" w:rsidRDefault="00313C2B" w:rsidP="00313C2B">
      <w:pPr>
        <w:spacing w:after="0" w:line="240" w:lineRule="auto"/>
        <w:jc w:val="center"/>
        <w:rPr>
          <w:rFonts w:cstheme="minorHAnsi"/>
          <w:sz w:val="18"/>
          <w:szCs w:val="18"/>
        </w:rPr>
      </w:pPr>
      <w:r w:rsidRPr="00F67098">
        <w:rPr>
          <w:rFonts w:cstheme="minorHAnsi"/>
          <w:sz w:val="16"/>
          <w:szCs w:val="16"/>
        </w:rPr>
        <w:t>Vir: SURS. Opomba: podatek za Q3 2024 je izračunan kot povprečje za julij in avgust)</w:t>
      </w:r>
    </w:p>
    <w:p w14:paraId="1DA1AEE9" w14:textId="77777777" w:rsidR="00313C2B" w:rsidRPr="00313C2B" w:rsidRDefault="00313C2B" w:rsidP="00313C2B">
      <w:pPr>
        <w:spacing w:after="0"/>
        <w:jc w:val="both"/>
        <w:rPr>
          <w:rFonts w:cstheme="minorHAnsi"/>
        </w:rPr>
      </w:pPr>
    </w:p>
    <w:p w14:paraId="5EBFDCA9" w14:textId="70806DEF" w:rsidR="00313C2B" w:rsidRPr="00313C2B" w:rsidRDefault="00313C2B" w:rsidP="00313C2B">
      <w:pPr>
        <w:spacing w:after="0"/>
        <w:jc w:val="both"/>
        <w:rPr>
          <w:rFonts w:cstheme="minorHAnsi"/>
        </w:rPr>
      </w:pPr>
      <w:r w:rsidRPr="00313C2B">
        <w:rPr>
          <w:rFonts w:cstheme="minorHAnsi"/>
        </w:rPr>
        <w:t xml:space="preserve">Po koncu pandemije covida se </w:t>
      </w:r>
      <w:r w:rsidRPr="00313C2B">
        <w:rPr>
          <w:rFonts w:cstheme="minorHAnsi"/>
          <w:b/>
          <w:bCs/>
        </w:rPr>
        <w:t>registrirana brezposelnost iz leta v leto znižuje</w:t>
      </w:r>
      <w:r w:rsidRPr="00313C2B">
        <w:rPr>
          <w:rFonts w:cstheme="minorHAnsi"/>
        </w:rPr>
        <w:t xml:space="preserve"> in tako smo v letu 2024 zabeležili najnižjo brezposelnost od osamosvojitve Slovenije. Konec septembra 2024 je bilo registriranih 43.847 brezposelnih oseb, kar je 40 % manj kot jih je bilo ob programiranju PEKP (71.000 oseb). Zaradi preteklih zniževanj števila brezposelnih, ugodnih napovedi stopnje zaposlenosti v naslednjih letih in nizkem deležu udeležbe odraslih v vseživljenjskem učenju, </w:t>
      </w:r>
      <w:r w:rsidRPr="00313C2B">
        <w:rPr>
          <w:rFonts w:cstheme="minorHAnsi"/>
          <w:b/>
          <w:bCs/>
        </w:rPr>
        <w:t>se predlaga spremembo osredotočenosti ukrepov s spodbud za zaposlitev na ukrepe za dvig kompetenc in spodbujanje vseživljenjskega učenja.</w:t>
      </w:r>
    </w:p>
    <w:p w14:paraId="01812C32" w14:textId="77777777" w:rsidR="00313C2B" w:rsidRPr="00313C2B" w:rsidRDefault="00313C2B" w:rsidP="00313C2B">
      <w:pPr>
        <w:spacing w:after="0"/>
        <w:jc w:val="both"/>
        <w:rPr>
          <w:rFonts w:cstheme="minorHAnsi"/>
        </w:rPr>
      </w:pPr>
    </w:p>
    <w:p w14:paraId="538923C0" w14:textId="77777777" w:rsidR="00313C2B" w:rsidRPr="00313C2B" w:rsidRDefault="00313C2B" w:rsidP="00313C2B">
      <w:pPr>
        <w:spacing w:after="0"/>
        <w:jc w:val="both"/>
        <w:rPr>
          <w:rFonts w:cstheme="minorHAnsi"/>
        </w:rPr>
      </w:pPr>
      <w:r w:rsidRPr="00313C2B">
        <w:rPr>
          <w:rFonts w:cstheme="minorHAnsi"/>
        </w:rPr>
        <w:t>O dejanski razpoložljivosti kapacitet na trgu dela se v kratki analizi sprašujeta avtorja</w:t>
      </w:r>
      <w:r w:rsidRPr="00313C2B">
        <w:rPr>
          <w:rFonts w:cstheme="minorHAnsi"/>
          <w:vertAlign w:val="superscript"/>
        </w:rPr>
        <w:footnoteReference w:id="13"/>
      </w:r>
      <w:r w:rsidRPr="00313C2B">
        <w:rPr>
          <w:rFonts w:cstheme="minorHAnsi"/>
        </w:rPr>
        <w:t xml:space="preserve">, ki preverita obseg izkoriščenosti kapacitet na trgu dela. Z analizo ugotovita, da vsi trije kazalniki (stopnja brezposelnosti, indeks podzaposlenosti in indeks nezaposlenosti) kažejo na podobno </w:t>
      </w:r>
      <w:r w:rsidRPr="00313C2B">
        <w:rPr>
          <w:rFonts w:cstheme="minorHAnsi"/>
          <w:b/>
          <w:bCs/>
        </w:rPr>
        <w:t>zgodovinsko nizko raven prostih kapacitet</w:t>
      </w:r>
      <w:r w:rsidRPr="00313C2B">
        <w:rPr>
          <w:rFonts w:cstheme="minorHAnsi"/>
        </w:rPr>
        <w:t xml:space="preserve"> – tako po nizki ravni brezposelnosti, kot tudi majhni možnosti prostovoljnega povečanja opravljenih delovnih ur obstoječih zaposlenih in majhnemu številu ostalih neaktivnih oseb, ki bi se lahko vključile na trg dela. Med drugim se pomanjkanje delovne sile skuša </w:t>
      </w:r>
      <w:r w:rsidRPr="00313C2B">
        <w:rPr>
          <w:rFonts w:cstheme="minorHAnsi"/>
        </w:rPr>
        <w:lastRenderedPageBreak/>
        <w:t>omiliti z nekaterimi ukrepi za lažje zaposlovanje in pridobivanje tuje delovne sile, tako da bo rast zaposlenosti še naprej izhajala predvsem iz zaposlovanja tujih državljanov.</w:t>
      </w:r>
    </w:p>
    <w:p w14:paraId="4F2D4F52" w14:textId="77777777" w:rsidR="00313C2B" w:rsidRPr="00313C2B" w:rsidRDefault="00313C2B" w:rsidP="00313C2B">
      <w:pPr>
        <w:spacing w:after="0"/>
        <w:jc w:val="both"/>
        <w:rPr>
          <w:rFonts w:cstheme="minorHAnsi"/>
        </w:rPr>
      </w:pPr>
    </w:p>
    <w:p w14:paraId="1848E88A" w14:textId="0A064CF6" w:rsidR="00313C2B" w:rsidRPr="00313C2B" w:rsidRDefault="00313C2B" w:rsidP="00313C2B">
      <w:pPr>
        <w:spacing w:after="0"/>
        <w:jc w:val="both"/>
        <w:rPr>
          <w:rFonts w:cstheme="minorHAnsi"/>
        </w:rPr>
      </w:pPr>
      <w:r w:rsidRPr="00313C2B">
        <w:rPr>
          <w:rFonts w:cstheme="minorHAnsi"/>
        </w:rPr>
        <w:t xml:space="preserve">V </w:t>
      </w:r>
      <w:r w:rsidRPr="00313C2B">
        <w:rPr>
          <w:rFonts w:cstheme="minorHAnsi"/>
          <w:i/>
          <w:iCs/>
        </w:rPr>
        <w:t>Strokovni podlagi za določitev ciljev Slovenije za leto 2030</w:t>
      </w:r>
      <w:r w:rsidRPr="00313C2B">
        <w:rPr>
          <w:rFonts w:cstheme="minorHAnsi"/>
          <w:i/>
          <w:iCs/>
          <w:vertAlign w:val="superscript"/>
        </w:rPr>
        <w:footnoteReference w:id="14"/>
      </w:r>
      <w:r w:rsidRPr="00313C2B">
        <w:rPr>
          <w:rFonts w:cstheme="minorHAnsi"/>
        </w:rPr>
        <w:t xml:space="preserve"> je navedeno, da bodo v tem desetletju potrebni različni ukrepi v podporo višanju stopnje delovne aktivnosti, med drugim tudi </w:t>
      </w:r>
      <w:r w:rsidRPr="00313C2B">
        <w:rPr>
          <w:rFonts w:cstheme="minorHAnsi"/>
          <w:b/>
          <w:bCs/>
        </w:rPr>
        <w:t>zvišanje deleža udeležbe odraslih v vseživljenjskem učenju</w:t>
      </w:r>
      <w:r w:rsidRPr="00313C2B">
        <w:rPr>
          <w:rFonts w:cstheme="minorHAnsi"/>
        </w:rPr>
        <w:t xml:space="preserve">. </w:t>
      </w:r>
    </w:p>
    <w:p w14:paraId="400DB140" w14:textId="77777777" w:rsidR="00313C2B" w:rsidRPr="00313C2B" w:rsidRDefault="00313C2B" w:rsidP="00313C2B">
      <w:pPr>
        <w:spacing w:after="0"/>
        <w:jc w:val="both"/>
        <w:rPr>
          <w:rFonts w:cstheme="minorHAnsi"/>
        </w:rPr>
      </w:pPr>
      <w:bookmarkStart w:id="37" w:name="_Hlk187406021"/>
    </w:p>
    <w:p w14:paraId="6855CA26" w14:textId="5D5F6D54" w:rsidR="00313C2B" w:rsidRPr="00313C2B" w:rsidRDefault="00313C2B" w:rsidP="00313C2B">
      <w:pPr>
        <w:spacing w:after="0"/>
        <w:jc w:val="both"/>
        <w:rPr>
          <w:rFonts w:cs="Arial"/>
          <w:szCs w:val="20"/>
        </w:rPr>
      </w:pPr>
      <w:r w:rsidRPr="00313C2B">
        <w:rPr>
          <w:rFonts w:cs="Arial"/>
          <w:szCs w:val="20"/>
        </w:rPr>
        <w:t xml:space="preserve">V dokumentu </w:t>
      </w:r>
      <w:r w:rsidRPr="00313C2B">
        <w:rPr>
          <w:rFonts w:cs="Arial"/>
          <w:i/>
          <w:iCs/>
          <w:szCs w:val="20"/>
        </w:rPr>
        <w:t>Strokovna izhodišča za leto 2025</w:t>
      </w:r>
      <w:r w:rsidRPr="00313C2B">
        <w:rPr>
          <w:rFonts w:cs="Arial"/>
          <w:i/>
          <w:iCs/>
          <w:szCs w:val="20"/>
          <w:vertAlign w:val="superscript"/>
        </w:rPr>
        <w:footnoteReference w:id="15"/>
      </w:r>
      <w:r w:rsidRPr="00313C2B">
        <w:rPr>
          <w:rFonts w:cs="Arial"/>
          <w:szCs w:val="20"/>
        </w:rPr>
        <w:t>, je sicer navedeno</w:t>
      </w:r>
      <w:r w:rsidR="008727F0">
        <w:rPr>
          <w:rFonts w:cs="Arial"/>
          <w:szCs w:val="20"/>
        </w:rPr>
        <w:t>,</w:t>
      </w:r>
      <w:r w:rsidRPr="00313C2B">
        <w:rPr>
          <w:rFonts w:cs="Arial"/>
          <w:szCs w:val="20"/>
        </w:rPr>
        <w:t xml:space="preserve"> da ključen izziv na trgu dela ostaja povečanje aktivnosti ranljivih skupin, predvsem starejših, nižje izobraženih in dolgotrajno brezposelnih, s katerimi bi lahko, poleg podaljševanja poklicne poti starejših od 55 let in prihodom novih delavcev iz tujine, izkoristili potencial skritega bazena razpoložljive delovne sile, vendar osrednja ciljna skupina predlaganih ukrepov ostajajo zaposleni v vseh starostnih skupinah. </w:t>
      </w:r>
    </w:p>
    <w:p w14:paraId="3E391535" w14:textId="77777777" w:rsidR="00313C2B" w:rsidRPr="00313C2B" w:rsidRDefault="00313C2B" w:rsidP="00313C2B">
      <w:pPr>
        <w:spacing w:after="0"/>
        <w:jc w:val="both"/>
        <w:rPr>
          <w:rFonts w:cstheme="minorHAnsi"/>
        </w:rPr>
      </w:pPr>
    </w:p>
    <w:p w14:paraId="2EEF6055" w14:textId="2EC31E02" w:rsidR="00313C2B" w:rsidRPr="00313C2B" w:rsidRDefault="00313C2B" w:rsidP="00313C2B">
      <w:pPr>
        <w:spacing w:after="0"/>
        <w:jc w:val="both"/>
      </w:pPr>
      <w:r w:rsidRPr="7DD28AAC">
        <w:t xml:space="preserve">Jasno je, da primanjkljaj delovne sile v številnih sektorjih ne bo mogoče pridobiti zgolj v bazenu brezposelnih, predvsem pa da je potrebno v znanja, kompetence in spretnosti bazena že zaposlenih vseskozi nadgrajevati, v kolikor želimo ukrepe oz. vlaganja v RRI in spodbujanje konkurenčnosti slovenskega gospodarstva produktivno uporabiti. Zato je toliko pomembnejše, da Slovenija še močneje spodbuja izobraževanje odraslih, tudi na področju digitalnih in drugih </w:t>
      </w:r>
      <w:bookmarkStart w:id="38" w:name="_Hlk188357563"/>
      <w:r w:rsidRPr="7DD28AAC">
        <w:t>kompetenc</w:t>
      </w:r>
      <w:bookmarkEnd w:id="38"/>
      <w:r w:rsidRPr="7DD28AAC">
        <w:t>, ob dejstvu, da je Slovenija na področju digitalnih spretnosti pod povprečjem EU. Ravno z izobraževanjem in usposabljanjem lahko odrasli pridobivajo nove spretnosti in znanja, s katerimi bi lahko v prihodnosti prešli iz manj produktivnih gospodarskih sektorjev v produktivnejše.</w:t>
      </w:r>
    </w:p>
    <w:bookmarkEnd w:id="37"/>
    <w:p w14:paraId="304F5AB2" w14:textId="77777777" w:rsidR="00313C2B" w:rsidRPr="00313C2B" w:rsidRDefault="00313C2B" w:rsidP="00313C2B">
      <w:pPr>
        <w:spacing w:after="0"/>
        <w:jc w:val="both"/>
        <w:rPr>
          <w:rFonts w:cstheme="minorHAnsi"/>
        </w:rPr>
      </w:pPr>
    </w:p>
    <w:p w14:paraId="6F5732E2" w14:textId="44702C0D" w:rsidR="00313C2B" w:rsidRPr="00313C2B" w:rsidRDefault="00313C2B" w:rsidP="00313C2B">
      <w:pPr>
        <w:spacing w:after="0"/>
        <w:jc w:val="both"/>
        <w:rPr>
          <w:rFonts w:cstheme="minorHAnsi"/>
        </w:rPr>
      </w:pPr>
      <w:r w:rsidRPr="00FB3502">
        <w:rPr>
          <w:rFonts w:cstheme="minorHAnsi"/>
        </w:rPr>
        <w:t xml:space="preserve">Na </w:t>
      </w:r>
      <w:r w:rsidRPr="00FB3502">
        <w:rPr>
          <w:rFonts w:cstheme="minorHAnsi"/>
          <w:i/>
          <w:iCs/>
        </w:rPr>
        <w:t>specifičnem cilju 4.1 Izboljšanje dostopa do zaposlitve in aktivacijski ukrepi za vse iskalce zaposlitve</w:t>
      </w:r>
      <w:r w:rsidRPr="00FB3502">
        <w:rPr>
          <w:rFonts w:cstheme="minorHAnsi"/>
        </w:rPr>
        <w:t xml:space="preserve">, se ob upoštevanju stanja na trgu dela zmanjša financiranje operacije </w:t>
      </w:r>
      <w:r w:rsidRPr="00FB3502">
        <w:rPr>
          <w:rFonts w:cstheme="minorHAnsi"/>
          <w:i/>
          <w:iCs/>
        </w:rPr>
        <w:t>Spodbujanje zaposlovanja – Zaposli.me+</w:t>
      </w:r>
      <w:r w:rsidRPr="00FB3502">
        <w:rPr>
          <w:rFonts w:cstheme="minorHAnsi"/>
        </w:rPr>
        <w:t xml:space="preserve"> </w:t>
      </w:r>
      <w:r w:rsidR="00FB3502">
        <w:rPr>
          <w:rFonts w:cstheme="minorHAnsi"/>
        </w:rPr>
        <w:t xml:space="preserve">za dobrih </w:t>
      </w:r>
      <w:r w:rsidR="004D5DB2" w:rsidRPr="00FB3502">
        <w:rPr>
          <w:rFonts w:cstheme="minorHAnsi"/>
          <w:b/>
          <w:bCs/>
        </w:rPr>
        <w:t>33</w:t>
      </w:r>
      <w:r w:rsidR="008727F0">
        <w:rPr>
          <w:rFonts w:cstheme="minorHAnsi"/>
          <w:b/>
          <w:bCs/>
        </w:rPr>
        <w:t xml:space="preserve">,9 mio </w:t>
      </w:r>
      <w:r w:rsidR="004D5DB2" w:rsidRPr="00FB3502">
        <w:rPr>
          <w:rFonts w:cstheme="minorHAnsi"/>
          <w:b/>
          <w:bCs/>
        </w:rPr>
        <w:t>EUR</w:t>
      </w:r>
      <w:r w:rsidR="004D5DB2" w:rsidRPr="00FB3502">
        <w:rPr>
          <w:rFonts w:cstheme="minorHAnsi"/>
        </w:rPr>
        <w:t xml:space="preserve"> </w:t>
      </w:r>
      <w:r w:rsidRPr="00FB3502">
        <w:rPr>
          <w:rFonts w:cstheme="minorHAnsi"/>
        </w:rPr>
        <w:t>ter sredstva nameni za naslednje ukrepe:</w:t>
      </w:r>
      <w:r w:rsidRPr="00313C2B">
        <w:rPr>
          <w:rFonts w:cstheme="minorHAnsi"/>
        </w:rPr>
        <w:t xml:space="preserve"> </w:t>
      </w:r>
    </w:p>
    <w:p w14:paraId="7F47E83B" w14:textId="77777777" w:rsidR="00313C2B" w:rsidRPr="00313C2B" w:rsidRDefault="00313C2B" w:rsidP="00313C2B">
      <w:pPr>
        <w:spacing w:after="0"/>
        <w:jc w:val="both"/>
        <w:rPr>
          <w:rFonts w:cstheme="minorHAnsi"/>
        </w:rPr>
      </w:pPr>
    </w:p>
    <w:p w14:paraId="72790BF9" w14:textId="3E5A860B" w:rsidR="004D5DB2" w:rsidRDefault="004D5DB2" w:rsidP="004D5DB2">
      <w:pPr>
        <w:numPr>
          <w:ilvl w:val="2"/>
          <w:numId w:val="22"/>
        </w:numPr>
        <w:spacing w:after="0"/>
        <w:ind w:left="284" w:hanging="284"/>
        <w:contextualSpacing/>
        <w:jc w:val="both"/>
      </w:pPr>
      <w:r w:rsidRPr="6770349A">
        <w:t xml:space="preserve">na </w:t>
      </w:r>
      <w:r w:rsidRPr="6770349A">
        <w:rPr>
          <w:i/>
        </w:rPr>
        <w:t>specifičnem cilju 4.2 Posodabljanje institucij in služb trga dela za oceno in predvidevanje potreb po veščinah ter zagotavljanje pravočasne in prilagojene pomoči in podpore pri usklajevanju ponudbe in povpraševanja na trgu dela, prehodih in mobilnosti</w:t>
      </w:r>
      <w:r w:rsidRPr="6770349A">
        <w:t>;</w:t>
      </w:r>
      <w:r w:rsidR="00FB3502" w:rsidRPr="6770349A">
        <w:t xml:space="preserve"> </w:t>
      </w:r>
      <w:r w:rsidR="008727F0" w:rsidRPr="6770349A">
        <w:t xml:space="preserve">se povišajo sredstva </w:t>
      </w:r>
      <w:r w:rsidR="00FB3502" w:rsidRPr="6770349A">
        <w:t xml:space="preserve">za </w:t>
      </w:r>
      <w:r w:rsidR="00FB3502" w:rsidRPr="6770349A">
        <w:rPr>
          <w:b/>
        </w:rPr>
        <w:t>posodobitev in okrepitev institucij trga dela in storitve za ocenjevanje in predvidevanje potreb po spretnostih ter za zagotovitev pravočasne in prilagojene pomoči</w:t>
      </w:r>
      <w:r w:rsidR="00FB3502" w:rsidRPr="6770349A">
        <w:t xml:space="preserve"> </w:t>
      </w:r>
      <w:r w:rsidR="2802FA39" w:rsidRPr="6770349A">
        <w:t>ciljnim skupinam</w:t>
      </w:r>
      <w:r w:rsidR="00FB3502" w:rsidRPr="6770349A">
        <w:t>;</w:t>
      </w:r>
    </w:p>
    <w:p w14:paraId="07063791" w14:textId="77777777" w:rsidR="004D5DB2" w:rsidRPr="004D5DB2" w:rsidRDefault="004D5DB2" w:rsidP="009469ED">
      <w:pPr>
        <w:spacing w:after="0"/>
        <w:ind w:left="284"/>
        <w:contextualSpacing/>
        <w:jc w:val="both"/>
        <w:rPr>
          <w:rFonts w:cstheme="minorHAnsi"/>
        </w:rPr>
      </w:pPr>
    </w:p>
    <w:p w14:paraId="387A8F8F" w14:textId="72CA586E" w:rsidR="00EB6175" w:rsidRPr="009469ED" w:rsidRDefault="00EB6175" w:rsidP="00EB6175">
      <w:pPr>
        <w:numPr>
          <w:ilvl w:val="2"/>
          <w:numId w:val="22"/>
        </w:numPr>
        <w:spacing w:after="0"/>
        <w:ind w:left="284" w:hanging="284"/>
        <w:contextualSpacing/>
        <w:jc w:val="both"/>
      </w:pPr>
      <w:r>
        <w:t xml:space="preserve">na </w:t>
      </w:r>
      <w:r w:rsidRPr="0A47B67B">
        <w:rPr>
          <w:i/>
          <w:iCs/>
        </w:rPr>
        <w:t>specifičnem cilju 4.4 Spodbujanje prilagajanja delavcev, podjetij in podjetnikov na spremembe, aktivnega in zdravega staranja ter zdravega in dobro prilagojenega delovnega okolja, ki obravnava tveganja za zdravje</w:t>
      </w:r>
      <w:r w:rsidR="002E574A" w:rsidRPr="0A47B67B">
        <w:rPr>
          <w:i/>
          <w:iCs/>
        </w:rPr>
        <w:t>;</w:t>
      </w:r>
      <w:r w:rsidR="00FB3502" w:rsidRPr="0A47B67B">
        <w:rPr>
          <w:i/>
          <w:iCs/>
        </w:rPr>
        <w:t xml:space="preserve"> </w:t>
      </w:r>
      <w:r w:rsidR="008727F0" w:rsidRPr="0A47B67B">
        <w:rPr>
          <w:i/>
          <w:iCs/>
        </w:rPr>
        <w:t xml:space="preserve">se </w:t>
      </w:r>
      <w:r w:rsidR="002F65C9">
        <w:t xml:space="preserve">umesti </w:t>
      </w:r>
      <w:r w:rsidR="53972857">
        <w:t xml:space="preserve">okrepljeno </w:t>
      </w:r>
      <w:r w:rsidR="002F65C9">
        <w:t>podpor</w:t>
      </w:r>
      <w:r w:rsidR="008727F0">
        <w:t>o</w:t>
      </w:r>
      <w:r w:rsidR="002F65C9">
        <w:t xml:space="preserve"> </w:t>
      </w:r>
      <w:r w:rsidR="1E93AFB9">
        <w:t>kakovostnih delovnih mest in</w:t>
      </w:r>
      <w:r w:rsidR="002F65C9">
        <w:t xml:space="preserve"> novemu področju, in sicer </w:t>
      </w:r>
      <w:r w:rsidR="008727F0">
        <w:t xml:space="preserve">pri </w:t>
      </w:r>
      <w:r w:rsidR="008727F0" w:rsidRPr="0A47B67B">
        <w:rPr>
          <w:b/>
          <w:bCs/>
        </w:rPr>
        <w:t>s</w:t>
      </w:r>
      <w:r w:rsidR="002F65C9" w:rsidRPr="0A47B67B">
        <w:rPr>
          <w:b/>
          <w:bCs/>
        </w:rPr>
        <w:t>podbujanj</w:t>
      </w:r>
      <w:r w:rsidR="008727F0" w:rsidRPr="0A47B67B">
        <w:rPr>
          <w:b/>
          <w:bCs/>
        </w:rPr>
        <w:t>u</w:t>
      </w:r>
      <w:r w:rsidR="002F65C9" w:rsidRPr="0A47B67B">
        <w:rPr>
          <w:b/>
          <w:bCs/>
        </w:rPr>
        <w:t xml:space="preserve"> udeležbe zaposlenih v lastništvu podjetja</w:t>
      </w:r>
      <w:r w:rsidR="002F65C9">
        <w:t>;</w:t>
      </w:r>
    </w:p>
    <w:p w14:paraId="5C9F5FDE" w14:textId="77777777" w:rsidR="004D5DB2" w:rsidRDefault="004D5DB2" w:rsidP="009469ED">
      <w:pPr>
        <w:pStyle w:val="Odstavekseznama"/>
        <w:spacing w:after="0"/>
        <w:rPr>
          <w:rFonts w:cstheme="minorHAnsi"/>
        </w:rPr>
      </w:pPr>
    </w:p>
    <w:p w14:paraId="35B506D4" w14:textId="57752030" w:rsidR="004D5DB2" w:rsidRDefault="004D5DB2" w:rsidP="004D5DB2">
      <w:pPr>
        <w:numPr>
          <w:ilvl w:val="2"/>
          <w:numId w:val="22"/>
        </w:numPr>
        <w:spacing w:after="0"/>
        <w:ind w:left="284" w:hanging="284"/>
        <w:contextualSpacing/>
        <w:jc w:val="both"/>
        <w:rPr>
          <w:rFonts w:cstheme="minorHAnsi"/>
        </w:rPr>
      </w:pPr>
      <w:r w:rsidRPr="00313C2B">
        <w:rPr>
          <w:rFonts w:cstheme="minorHAnsi"/>
        </w:rPr>
        <w:t xml:space="preserve">na </w:t>
      </w:r>
      <w:r w:rsidRPr="00313C2B">
        <w:rPr>
          <w:rFonts w:cstheme="minorHAnsi"/>
          <w:i/>
          <w:iCs/>
        </w:rPr>
        <w:t xml:space="preserve">specifičnem cilju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se </w:t>
      </w:r>
      <w:r w:rsidRPr="00313C2B">
        <w:rPr>
          <w:rFonts w:cstheme="minorHAnsi"/>
        </w:rPr>
        <w:t xml:space="preserve">med obstoječe ukrepe </w:t>
      </w:r>
      <w:r w:rsidRPr="00313C2B">
        <w:rPr>
          <w:rFonts w:cstheme="minorHAnsi"/>
          <w:i/>
          <w:iCs/>
        </w:rPr>
        <w:t xml:space="preserve">izboljšanje kakovosti in učinkovitosti izobraževanja in usposabljanja </w:t>
      </w:r>
      <w:r w:rsidRPr="00313C2B">
        <w:rPr>
          <w:rFonts w:cstheme="minorHAnsi"/>
        </w:rPr>
        <w:t xml:space="preserve">k </w:t>
      </w:r>
      <w:r w:rsidRPr="00313C2B">
        <w:rPr>
          <w:rFonts w:cstheme="minorHAnsi"/>
          <w:i/>
          <w:iCs/>
        </w:rPr>
        <w:t xml:space="preserve">digitalni preobrazbi izobraževanja, </w:t>
      </w:r>
      <w:r w:rsidR="008727F0" w:rsidRPr="008727F0">
        <w:rPr>
          <w:rFonts w:cstheme="minorHAnsi"/>
        </w:rPr>
        <w:t xml:space="preserve">se </w:t>
      </w:r>
      <w:r w:rsidRPr="008727F0">
        <w:rPr>
          <w:rFonts w:cstheme="minorHAnsi"/>
        </w:rPr>
        <w:t>u</w:t>
      </w:r>
      <w:r w:rsidRPr="00313C2B">
        <w:rPr>
          <w:rFonts w:cstheme="minorHAnsi"/>
        </w:rPr>
        <w:t xml:space="preserve">mesti novo operacijo s področja </w:t>
      </w:r>
      <w:r>
        <w:rPr>
          <w:rFonts w:cstheme="minorHAnsi"/>
        </w:rPr>
        <w:t xml:space="preserve">kibernetske varnosti – </w:t>
      </w:r>
      <w:r w:rsidRPr="002C29DF">
        <w:rPr>
          <w:rFonts w:cstheme="minorHAnsi"/>
          <w:b/>
          <w:bCs/>
          <w:i/>
          <w:iCs/>
        </w:rPr>
        <w:t>Mreža šol za kibernetsko varnost</w:t>
      </w:r>
      <w:r w:rsidRPr="00313C2B">
        <w:rPr>
          <w:rFonts w:cstheme="minorHAnsi"/>
        </w:rPr>
        <w:t>;</w:t>
      </w:r>
    </w:p>
    <w:p w14:paraId="56B3230E" w14:textId="77777777" w:rsidR="004D5DB2" w:rsidRDefault="004D5DB2" w:rsidP="009469ED">
      <w:pPr>
        <w:pStyle w:val="Odstavekseznama"/>
        <w:spacing w:after="0"/>
        <w:rPr>
          <w:rFonts w:cstheme="minorHAnsi"/>
        </w:rPr>
      </w:pPr>
    </w:p>
    <w:p w14:paraId="5B50FEAF" w14:textId="77777777" w:rsidR="004D5DB2" w:rsidRPr="00313C2B" w:rsidRDefault="004D5DB2" w:rsidP="004D5DB2">
      <w:pPr>
        <w:numPr>
          <w:ilvl w:val="2"/>
          <w:numId w:val="22"/>
        </w:numPr>
        <w:spacing w:after="0"/>
        <w:ind w:left="284" w:hanging="284"/>
        <w:contextualSpacing/>
        <w:jc w:val="both"/>
        <w:rPr>
          <w:rFonts w:cstheme="minorHAnsi"/>
        </w:rPr>
      </w:pPr>
      <w:r w:rsidRPr="00313C2B">
        <w:rPr>
          <w:rFonts w:cstheme="minorHAnsi"/>
        </w:rPr>
        <w:t xml:space="preserve">na </w:t>
      </w:r>
      <w:r w:rsidRPr="00313C2B">
        <w:rPr>
          <w:rFonts w:cstheme="minorHAnsi"/>
          <w:i/>
          <w:iCs/>
        </w:rPr>
        <w:t>specifičnem cilju 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w:t>
      </w:r>
      <w:r w:rsidRPr="00313C2B">
        <w:rPr>
          <w:rFonts w:cstheme="minorHAnsi"/>
        </w:rPr>
        <w:t xml:space="preserve">: </w:t>
      </w:r>
    </w:p>
    <w:p w14:paraId="4D475A76" w14:textId="77777777" w:rsidR="004D5DB2" w:rsidRPr="00313C2B" w:rsidRDefault="004D5DB2" w:rsidP="004D5DB2">
      <w:pPr>
        <w:numPr>
          <w:ilvl w:val="0"/>
          <w:numId w:val="27"/>
        </w:numPr>
        <w:contextualSpacing/>
        <w:jc w:val="both"/>
        <w:rPr>
          <w:rFonts w:cstheme="minorHAnsi"/>
        </w:rPr>
      </w:pPr>
      <w:r w:rsidRPr="00313C2B">
        <w:rPr>
          <w:rFonts w:cstheme="minorHAnsi"/>
        </w:rPr>
        <w:t xml:space="preserve">se k izvajanju podpornih aktivnosti za izvajanje VŽU doda operacijo </w:t>
      </w:r>
      <w:r w:rsidRPr="00313C2B">
        <w:rPr>
          <w:rFonts w:cstheme="minorHAnsi"/>
          <w:b/>
          <w:bCs/>
        </w:rPr>
        <w:t>Podpora izvedbi</w:t>
      </w:r>
      <w:r>
        <w:rPr>
          <w:rFonts w:cstheme="minorHAnsi"/>
          <w:b/>
          <w:bCs/>
        </w:rPr>
        <w:t xml:space="preserve"> p</w:t>
      </w:r>
      <w:r w:rsidRPr="00313C2B">
        <w:rPr>
          <w:rFonts w:cstheme="minorHAnsi"/>
          <w:b/>
          <w:bCs/>
        </w:rPr>
        <w:t>rojektov vsebinskih mrež na področju digitalnih kompetenc</w:t>
      </w:r>
      <w:r w:rsidRPr="00313C2B">
        <w:rPr>
          <w:rFonts w:cstheme="minorHAnsi"/>
        </w:rPr>
        <w:t>;</w:t>
      </w:r>
    </w:p>
    <w:p w14:paraId="4566475E" w14:textId="77777777" w:rsidR="004D5DB2" w:rsidRDefault="004D5DB2" w:rsidP="004D5DB2">
      <w:pPr>
        <w:numPr>
          <w:ilvl w:val="0"/>
          <w:numId w:val="27"/>
        </w:numPr>
        <w:contextualSpacing/>
        <w:jc w:val="both"/>
        <w:rPr>
          <w:rFonts w:cstheme="minorHAnsi"/>
        </w:rPr>
      </w:pPr>
      <w:r w:rsidRPr="00313C2B">
        <w:rPr>
          <w:rFonts w:cstheme="minorHAnsi"/>
        </w:rPr>
        <w:t xml:space="preserve">se k ukrepom za pridobitev srednješolske izobrazbe in novega poklica za različne ravni, kvalifikacije in prekvalifikacije, poklicno izpopolnjevanje in usposabljanje, pridobivanje in </w:t>
      </w:r>
      <w:r w:rsidRPr="00313C2B">
        <w:rPr>
          <w:rFonts w:cstheme="minorHAnsi"/>
        </w:rPr>
        <w:lastRenderedPageBreak/>
        <w:t xml:space="preserve">zviševanje ravni pismenosti in temeljnih zmožnosti ter izboljšanje splošne izobraženosti vključno z digitalnimi kompetencami, doda </w:t>
      </w:r>
      <w:r w:rsidRPr="00313C2B">
        <w:rPr>
          <w:rFonts w:cstheme="minorHAnsi"/>
          <w:b/>
          <w:bCs/>
        </w:rPr>
        <w:t>Javne razpise za dvig digitalnih kompetenc odraslih</w:t>
      </w:r>
      <w:r w:rsidRPr="00313C2B">
        <w:rPr>
          <w:rFonts w:cstheme="minorHAnsi"/>
        </w:rPr>
        <w:t xml:space="preserve"> </w:t>
      </w:r>
      <w:r>
        <w:rPr>
          <w:rFonts w:cstheme="minorHAnsi"/>
        </w:rPr>
        <w:t xml:space="preserve">in </w:t>
      </w:r>
      <w:r w:rsidRPr="00313C2B">
        <w:rPr>
          <w:rFonts w:cstheme="minorHAnsi"/>
        </w:rPr>
        <w:t xml:space="preserve">operacijo za </w:t>
      </w:r>
      <w:r w:rsidRPr="00313C2B">
        <w:rPr>
          <w:rFonts w:cstheme="minorHAnsi"/>
          <w:b/>
          <w:bCs/>
        </w:rPr>
        <w:t>spodbujanja vključevanja žensk v IKT poklice</w:t>
      </w:r>
      <w:r w:rsidRPr="00313C2B">
        <w:rPr>
          <w:rFonts w:cstheme="minorHAnsi"/>
        </w:rPr>
        <w:t>.</w:t>
      </w:r>
    </w:p>
    <w:p w14:paraId="5F5137A5" w14:textId="77777777" w:rsidR="00701B0A" w:rsidRPr="007A2C83" w:rsidRDefault="00701B0A" w:rsidP="0013137C">
      <w:pPr>
        <w:spacing w:after="0"/>
        <w:jc w:val="both"/>
        <w:rPr>
          <w:highlight w:val="yellow"/>
        </w:rPr>
      </w:pPr>
    </w:p>
    <w:p w14:paraId="31503839" w14:textId="18354080" w:rsidR="00E82112" w:rsidRDefault="00E82112" w:rsidP="00B9615C">
      <w:pPr>
        <w:pStyle w:val="Naslov2"/>
        <w:numPr>
          <w:ilvl w:val="1"/>
          <w:numId w:val="23"/>
        </w:numPr>
      </w:pPr>
      <w:bookmarkStart w:id="39" w:name="_Toc191383853"/>
      <w:r w:rsidRPr="00B25213">
        <w:t>Pričakovani učinki spremembe PEKP</w:t>
      </w:r>
      <w:r>
        <w:t xml:space="preserve"> 21</w:t>
      </w:r>
      <w:r w:rsidR="00941845" w:rsidRPr="00760426">
        <w:rPr>
          <w:rFonts w:cstheme="minorHAnsi"/>
        </w:rPr>
        <w:t>–</w:t>
      </w:r>
      <w:r w:rsidRPr="00B25213">
        <w:t>27</w:t>
      </w:r>
      <w:bookmarkEnd w:id="39"/>
    </w:p>
    <w:p w14:paraId="1432C478" w14:textId="77777777" w:rsidR="0013137C" w:rsidRPr="0013137C" w:rsidRDefault="0013137C" w:rsidP="0013137C">
      <w:pPr>
        <w:spacing w:after="0"/>
      </w:pPr>
    </w:p>
    <w:p w14:paraId="6D89AEAF" w14:textId="7349AC6B" w:rsidR="00E82112" w:rsidRDefault="00E82112" w:rsidP="00B654D7">
      <w:pPr>
        <w:pStyle w:val="Brezrazmikov"/>
        <w:spacing w:line="264" w:lineRule="auto"/>
        <w:jc w:val="both"/>
      </w:pPr>
      <w:r>
        <w:t>Sprememba PEKP</w:t>
      </w:r>
      <w:r w:rsidR="00456B37">
        <w:t xml:space="preserve"> 21</w:t>
      </w:r>
      <w:r w:rsidR="00941845" w:rsidRPr="4BA5D4B7">
        <w:t>–</w:t>
      </w:r>
      <w:r w:rsidR="00456B37">
        <w:t>27</w:t>
      </w:r>
      <w:r>
        <w:t xml:space="preserve"> z uvedbo novega specifičnega cilja </w:t>
      </w:r>
      <w:r w:rsidR="5AD42844">
        <w:t xml:space="preserve">RSO1.6 </w:t>
      </w:r>
      <w:r>
        <w:t>Razvoj ali proizvodnja kritičnih tehnologij bo imela ključne učinke na konkurenčnost, odpornost in trajnostno rast slovenskega gospodarstva.</w:t>
      </w:r>
    </w:p>
    <w:p w14:paraId="6E2A0E07" w14:textId="77777777" w:rsidR="00910227" w:rsidRDefault="00910227" w:rsidP="00B654D7">
      <w:pPr>
        <w:pStyle w:val="Brezrazmikov"/>
        <w:spacing w:line="264" w:lineRule="auto"/>
        <w:jc w:val="both"/>
      </w:pPr>
    </w:p>
    <w:p w14:paraId="55FF5075" w14:textId="77777777" w:rsidR="00E82112" w:rsidRDefault="00E82112" w:rsidP="00B654D7">
      <w:pPr>
        <w:pStyle w:val="Brezrazmikov"/>
        <w:spacing w:line="264" w:lineRule="auto"/>
        <w:jc w:val="both"/>
      </w:pPr>
      <w:r>
        <w:t>S podporo razvoju kritičnih tehnologij, kot so digitalne, čiste tehnologije in biotehnologije, bo sprememba PEKP okrepila tehnološko suverenost Slovenije in zmanjšala odvisnost od zunanjih dobaviteljev. To vključuje tudi boljše vključevanje slovenskih podjetij v evropske verige vrednosti ter večjo odpornost gospodarstva na geopolitične in gospodarske šoke. Projekti, skladni s platformo STEP, bodo omogočili trajnostno preobrazbo ter zagotovili dolgoročno konkurenčnost slovenskega gospodarstva na globalni ravni.</w:t>
      </w:r>
    </w:p>
    <w:p w14:paraId="395C1756" w14:textId="77777777" w:rsidR="00B654D7" w:rsidRPr="00B25213" w:rsidRDefault="00B654D7" w:rsidP="00B654D7">
      <w:pPr>
        <w:pStyle w:val="Brezrazmikov"/>
        <w:spacing w:line="264" w:lineRule="auto"/>
        <w:jc w:val="both"/>
      </w:pPr>
    </w:p>
    <w:p w14:paraId="3EBE6D19" w14:textId="45C6747E" w:rsidR="00E82112" w:rsidRDefault="00E82112" w:rsidP="00B654D7">
      <w:pPr>
        <w:pStyle w:val="Brezrazmikov"/>
        <w:spacing w:line="264" w:lineRule="auto"/>
        <w:jc w:val="both"/>
      </w:pPr>
      <w:r>
        <w:t>Prav tako bo sprememba PEKP</w:t>
      </w:r>
      <w:r w:rsidR="00456B37">
        <w:t xml:space="preserve"> 21</w:t>
      </w:r>
      <w:r w:rsidR="00941845">
        <w:t>–</w:t>
      </w:r>
      <w:r w:rsidR="00456B37">
        <w:t>27</w:t>
      </w:r>
      <w:r>
        <w:t xml:space="preserve"> pomembno naslovila pomanjkanje ključnih znanj in spretnosti, ki so potrebna za razvoj in proizvodnjo strateških tehnologij. Podprti bodo projekti, ki spodbujajo ustvarjanje kakovostnih delovnih mest in razvoj usposabljanj, prilagojenih potrebam sektorjev prihodnosti, zlasti na področju digitalnih in zelenih inovacij. S tem bo Slovenija okrepila svojo človeško osnovo za dolgoročno rast in konkurenčnost ter prispevala k širši evropski tehnološki avtonomiji.</w:t>
      </w:r>
    </w:p>
    <w:p w14:paraId="731D022E" w14:textId="77777777" w:rsidR="00B654D7" w:rsidRPr="00B25213" w:rsidRDefault="00B654D7" w:rsidP="00B654D7">
      <w:pPr>
        <w:pStyle w:val="Brezrazmikov"/>
        <w:spacing w:line="264" w:lineRule="auto"/>
        <w:jc w:val="both"/>
      </w:pPr>
    </w:p>
    <w:p w14:paraId="2A6C34B2" w14:textId="0CABF955" w:rsidR="00E82112" w:rsidRDefault="00E82112" w:rsidP="00B654D7">
      <w:pPr>
        <w:pStyle w:val="Brezrazmikov"/>
        <w:spacing w:line="264" w:lineRule="auto"/>
        <w:jc w:val="both"/>
      </w:pPr>
      <w:r>
        <w:t>Poleg tega sprememba PEKP vključuje tudi nov ukrep v okviru specifičnega cilja RSO 2.</w:t>
      </w:r>
      <w:r w:rsidR="00FB492B">
        <w:t>4</w:t>
      </w:r>
      <w:r>
        <w:t>, ki je namenjen izboljšanju podnebne odpornosti in preprečevanju naravnih nesreč. Ta ukrep, osredotočen na okrepitev podnebno-trajnostne infrastrukture in trajnostnih rešitev, neposredno naslavlja izzive, ki so posledica katastrofalnih poplav leta 2023, ter prispeva k dolgoročnemu zmanjšanju ranljivosti slovenskega okolja in gospodarstva.</w:t>
      </w:r>
    </w:p>
    <w:p w14:paraId="2D9F5E7C" w14:textId="77777777" w:rsidR="00B654D7" w:rsidRPr="00B25213" w:rsidRDefault="00B654D7" w:rsidP="00B654D7">
      <w:pPr>
        <w:pStyle w:val="Brezrazmikov"/>
        <w:spacing w:line="264" w:lineRule="auto"/>
        <w:jc w:val="both"/>
      </w:pPr>
    </w:p>
    <w:p w14:paraId="142E57A0" w14:textId="77777777" w:rsidR="00E82112" w:rsidRDefault="00E82112" w:rsidP="00B654D7">
      <w:pPr>
        <w:pStyle w:val="Brezrazmikov"/>
        <w:spacing w:line="264" w:lineRule="auto"/>
        <w:jc w:val="both"/>
      </w:pPr>
      <w:r>
        <w:t>Skupno bo sprememba PEKP omogočila usmeritev sredstev v strateške projekte z visoko dodano vrednostjo, kar bo spodbudilo inovacije, povečalo odpornost gospodarstva in pospešilo trajnostni razvoj. Slovenija bo z uresničitvijo teh ciljev postala še pomembnejši del evropskih verig vrednosti ter prispevala k doseganju strateških prioritet EU, kot so konkurenčnost, suverenost in trajnost.</w:t>
      </w:r>
    </w:p>
    <w:p w14:paraId="37F3EDFF" w14:textId="77777777" w:rsidR="00B654D7" w:rsidRPr="00B25213" w:rsidRDefault="00B654D7" w:rsidP="00B654D7">
      <w:pPr>
        <w:pStyle w:val="Brezrazmikov"/>
        <w:spacing w:line="264" w:lineRule="auto"/>
        <w:jc w:val="both"/>
      </w:pPr>
    </w:p>
    <w:p w14:paraId="50E44920" w14:textId="77777777" w:rsidR="00E82112" w:rsidRDefault="00E82112" w:rsidP="00B654D7">
      <w:pPr>
        <w:pStyle w:val="Brezrazmikov"/>
        <w:spacing w:line="264" w:lineRule="auto"/>
        <w:jc w:val="both"/>
      </w:pPr>
      <w:r>
        <w:t>Sprememba PEKP bo prav tako naslovila ugotovljene pomanjkljivosti iz vmesnega poročila, kot so nizka stopnja koriščenja sredstev za raziskave, razvoj in inovacije ter nezadostna usmerjenost v projekte z visoko dodano vrednostjo. Z bolj ciljno usmerjenimi razpisi in poenostavitvijo administrativnih postopkov bo povečana absorpcijska zmogljivost ter pospešena realizacija strateških ciljev programa.</w:t>
      </w:r>
    </w:p>
    <w:p w14:paraId="6B7ED9F1" w14:textId="755BF66B" w:rsidR="0022719D" w:rsidRPr="00E016AD" w:rsidRDefault="001F197B" w:rsidP="00412FB9">
      <w:bookmarkStart w:id="40" w:name="_Toc185496404"/>
      <w:bookmarkStart w:id="41" w:name="_Toc185496405"/>
      <w:bookmarkStart w:id="42" w:name="_Toc185496406"/>
      <w:bookmarkStart w:id="43" w:name="_Toc185496392"/>
      <w:bookmarkStart w:id="44" w:name="_Toc185496394"/>
      <w:bookmarkEnd w:id="40"/>
      <w:bookmarkEnd w:id="41"/>
      <w:bookmarkEnd w:id="42"/>
      <w:bookmarkEnd w:id="43"/>
      <w:bookmarkEnd w:id="44"/>
      <w:r>
        <w:rPr>
          <w:rFonts w:cstheme="minorHAnsi"/>
        </w:rPr>
        <w:br w:type="page"/>
      </w:r>
    </w:p>
    <w:p w14:paraId="68E2E10E" w14:textId="77777777" w:rsidR="00657F4E" w:rsidRDefault="00657F4E">
      <w:pPr>
        <w:rPr>
          <w:rFonts w:eastAsia="Times New Roman" w:cstheme="minorHAnsi"/>
          <w:b/>
          <w:bCs/>
          <w:color w:val="2E74B5"/>
          <w:kern w:val="0"/>
          <w:sz w:val="28"/>
          <w:szCs w:val="28"/>
          <w:u w:val="single"/>
          <w14:ligatures w14:val="none"/>
        </w:rPr>
        <w:sectPr w:rsidR="00657F4E" w:rsidSect="002E1975">
          <w:pgSz w:w="11906" w:h="16838"/>
          <w:pgMar w:top="1417" w:right="1417" w:bottom="1417" w:left="1417" w:header="708" w:footer="708" w:gutter="0"/>
          <w:cols w:space="708"/>
          <w:docGrid w:linePitch="360"/>
        </w:sectPr>
      </w:pPr>
      <w:bookmarkStart w:id="45" w:name="_Toc185496408"/>
      <w:bookmarkStart w:id="46" w:name="_Toc185496409"/>
      <w:bookmarkStart w:id="47" w:name="_Toc185496410"/>
      <w:bookmarkStart w:id="48" w:name="_Toc185496411"/>
      <w:bookmarkStart w:id="49" w:name="_Toc185496412"/>
      <w:bookmarkStart w:id="50" w:name="_Toc185496413"/>
      <w:bookmarkStart w:id="51" w:name="_Toc185496414"/>
      <w:bookmarkStart w:id="52" w:name="_Toc185496415"/>
      <w:bookmarkStart w:id="53" w:name="_Toc185496416"/>
      <w:bookmarkStart w:id="54" w:name="_Toc185496417"/>
      <w:bookmarkStart w:id="55" w:name="_Toc185496418"/>
      <w:bookmarkEnd w:id="45"/>
      <w:bookmarkEnd w:id="46"/>
      <w:bookmarkEnd w:id="47"/>
      <w:bookmarkEnd w:id="48"/>
      <w:bookmarkEnd w:id="49"/>
      <w:bookmarkEnd w:id="50"/>
      <w:bookmarkEnd w:id="51"/>
      <w:bookmarkEnd w:id="52"/>
      <w:bookmarkEnd w:id="53"/>
      <w:bookmarkEnd w:id="54"/>
      <w:bookmarkEnd w:id="55"/>
    </w:p>
    <w:p w14:paraId="7E6440C3" w14:textId="1AF28993" w:rsidR="002E1975" w:rsidRDefault="00E016AD" w:rsidP="007C68AC">
      <w:pPr>
        <w:pStyle w:val="Naslov1"/>
        <w:rPr>
          <w:rFonts w:eastAsia="Times New Roman"/>
        </w:rPr>
      </w:pPr>
      <w:bookmarkStart w:id="56" w:name="_Toc191383854"/>
      <w:r w:rsidRPr="5AB13CE1">
        <w:rPr>
          <w:rFonts w:eastAsia="Times New Roman"/>
        </w:rPr>
        <w:lastRenderedPageBreak/>
        <w:t>FINANČNA PREGLEDNICA SPREMEMB PRAVIC PORABE PO CILJIH POLITIK V OKVIRU PROGRAMA EKP 2021–2027</w:t>
      </w:r>
      <w:bookmarkEnd w:id="56"/>
      <w:r w:rsidRPr="5AB13CE1">
        <w:rPr>
          <w:rFonts w:eastAsia="Times New Roman"/>
        </w:rPr>
        <w:t xml:space="preserve"> </w:t>
      </w:r>
    </w:p>
    <w:p w14:paraId="07FE973E" w14:textId="77777777" w:rsidR="002E1975" w:rsidRPr="002E1975" w:rsidRDefault="002E1975" w:rsidP="002E1975">
      <w:pPr>
        <w:spacing w:after="0" w:line="240" w:lineRule="auto"/>
        <w:rPr>
          <w:rFonts w:cstheme="minorHAnsi"/>
          <w:szCs w:val="20"/>
        </w:rPr>
      </w:pPr>
    </w:p>
    <w:p w14:paraId="03224DEB" w14:textId="662FF8D3" w:rsidR="002E1975" w:rsidRPr="00F67098" w:rsidRDefault="007C68AC" w:rsidP="00D33195">
      <w:pPr>
        <w:pStyle w:val="Napis"/>
        <w:keepNext/>
        <w:spacing w:after="0"/>
        <w:rPr>
          <w:i w:val="0"/>
          <w:iCs w:val="0"/>
          <w:color w:val="auto"/>
          <w:sz w:val="20"/>
          <w:szCs w:val="20"/>
        </w:rPr>
      </w:pPr>
      <w:bookmarkStart w:id="57" w:name="_Toc191459957"/>
      <w:r w:rsidRPr="00F67098">
        <w:rPr>
          <w:i w:val="0"/>
          <w:iCs w:val="0"/>
          <w:color w:val="auto"/>
          <w:sz w:val="20"/>
          <w:szCs w:val="20"/>
        </w:rPr>
        <w:t xml:space="preserve">Tabela </w:t>
      </w:r>
      <w:r w:rsidR="00323887" w:rsidRPr="00F67098">
        <w:rPr>
          <w:i w:val="0"/>
          <w:iCs w:val="0"/>
          <w:color w:val="auto"/>
          <w:sz w:val="20"/>
          <w:szCs w:val="20"/>
        </w:rPr>
        <w:fldChar w:fldCharType="begin"/>
      </w:r>
      <w:r w:rsidR="00323887" w:rsidRPr="00F67098">
        <w:rPr>
          <w:i w:val="0"/>
          <w:iCs w:val="0"/>
          <w:color w:val="auto"/>
          <w:sz w:val="20"/>
          <w:szCs w:val="20"/>
        </w:rPr>
        <w:instrText xml:space="preserve"> SEQ Tabela \* ARABIC </w:instrText>
      </w:r>
      <w:r w:rsidR="00323887" w:rsidRPr="00F67098">
        <w:rPr>
          <w:i w:val="0"/>
          <w:iCs w:val="0"/>
          <w:color w:val="auto"/>
          <w:sz w:val="20"/>
          <w:szCs w:val="20"/>
        </w:rPr>
        <w:fldChar w:fldCharType="separate"/>
      </w:r>
      <w:r w:rsidR="00784805">
        <w:rPr>
          <w:i w:val="0"/>
          <w:iCs w:val="0"/>
          <w:noProof/>
          <w:color w:val="auto"/>
          <w:sz w:val="20"/>
          <w:szCs w:val="20"/>
        </w:rPr>
        <w:t>13</w:t>
      </w:r>
      <w:r w:rsidR="00323887" w:rsidRPr="00F67098">
        <w:rPr>
          <w:i w:val="0"/>
          <w:iCs w:val="0"/>
          <w:noProof/>
          <w:color w:val="auto"/>
          <w:sz w:val="20"/>
          <w:szCs w:val="20"/>
        </w:rPr>
        <w:fldChar w:fldCharType="end"/>
      </w:r>
      <w:r w:rsidRPr="00F67098">
        <w:rPr>
          <w:i w:val="0"/>
          <w:iCs w:val="0"/>
          <w:color w:val="auto"/>
          <w:sz w:val="20"/>
          <w:szCs w:val="20"/>
        </w:rPr>
        <w:t>: Predlogi finančnih prerazporeditev, ki so v nadaljevanju pojasnjeni</w:t>
      </w:r>
      <w:r w:rsidR="00890F78">
        <w:rPr>
          <w:i w:val="0"/>
          <w:iCs w:val="0"/>
          <w:color w:val="auto"/>
          <w:sz w:val="20"/>
          <w:szCs w:val="20"/>
        </w:rPr>
        <w:t xml:space="preserve"> </w:t>
      </w:r>
      <w:r w:rsidR="00890F78" w:rsidRPr="00890F78">
        <w:rPr>
          <w:i w:val="0"/>
          <w:iCs w:val="0"/>
          <w:color w:val="auto"/>
          <w:sz w:val="20"/>
          <w:szCs w:val="20"/>
        </w:rPr>
        <w:t xml:space="preserve">– </w:t>
      </w:r>
      <w:bookmarkStart w:id="58" w:name="_Hlk191452938"/>
      <w:r w:rsidR="00890F78" w:rsidRPr="00890F78">
        <w:rPr>
          <w:i w:val="0"/>
          <w:iCs w:val="0"/>
          <w:color w:val="auto"/>
          <w:sz w:val="20"/>
          <w:szCs w:val="20"/>
        </w:rPr>
        <w:t>natančne prerazporeditve znotraj posameznega Cilja politik bodo dorečene v sklopu usklajevanja PEKP do formalne potrditve s strani Evropske komisije</w:t>
      </w:r>
      <w:bookmarkEnd w:id="57"/>
    </w:p>
    <w:bookmarkEnd w:id="58"/>
    <w:p w14:paraId="14BF213F" w14:textId="77777777" w:rsidR="004812BE" w:rsidRPr="004812BE" w:rsidRDefault="004812BE" w:rsidP="004812BE">
      <w:pPr>
        <w:spacing w:after="0"/>
      </w:pPr>
    </w:p>
    <w:tbl>
      <w:tblPr>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
        <w:gridCol w:w="1223"/>
        <w:gridCol w:w="996"/>
        <w:gridCol w:w="970"/>
        <w:gridCol w:w="1767"/>
        <w:gridCol w:w="3694"/>
        <w:gridCol w:w="2239"/>
        <w:gridCol w:w="2680"/>
      </w:tblGrid>
      <w:tr w:rsidR="00680842" w:rsidRPr="00986929" w14:paraId="693C58D0" w14:textId="77777777" w:rsidTr="00680842">
        <w:trPr>
          <w:trHeight w:val="600"/>
        </w:trPr>
        <w:tc>
          <w:tcPr>
            <w:tcW w:w="423" w:type="dxa"/>
            <w:shd w:val="clear" w:color="auto" w:fill="D9E1F2"/>
            <w:noWrap/>
            <w:vAlign w:val="bottom"/>
            <w:hideMark/>
          </w:tcPr>
          <w:p w14:paraId="3F53BD8A" w14:textId="77777777" w:rsidR="00D33195" w:rsidRPr="009E5A3A" w:rsidRDefault="00D33195" w:rsidP="00F545BB">
            <w:pPr>
              <w:spacing w:after="0" w:line="240" w:lineRule="auto"/>
              <w:jc w:val="center"/>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PN</w:t>
            </w:r>
          </w:p>
        </w:tc>
        <w:tc>
          <w:tcPr>
            <w:tcW w:w="1223" w:type="dxa"/>
            <w:shd w:val="clear" w:color="auto" w:fill="D9E1F2"/>
            <w:noWrap/>
            <w:vAlign w:val="bottom"/>
            <w:hideMark/>
          </w:tcPr>
          <w:p w14:paraId="0A9B2C7B" w14:textId="77777777" w:rsidR="00D33195" w:rsidRPr="009E5A3A" w:rsidRDefault="00D33195" w:rsidP="00F545BB">
            <w:pPr>
              <w:spacing w:after="0" w:line="240" w:lineRule="auto"/>
              <w:jc w:val="center"/>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SC</w:t>
            </w:r>
          </w:p>
        </w:tc>
        <w:tc>
          <w:tcPr>
            <w:tcW w:w="996" w:type="dxa"/>
            <w:shd w:val="clear" w:color="auto" w:fill="D9E1F2"/>
            <w:noWrap/>
            <w:vAlign w:val="bottom"/>
            <w:hideMark/>
          </w:tcPr>
          <w:p w14:paraId="7E0619E3" w14:textId="77777777" w:rsidR="00D33195" w:rsidRPr="009E5A3A" w:rsidRDefault="00D33195" w:rsidP="00F545BB">
            <w:pPr>
              <w:spacing w:after="0" w:line="240" w:lineRule="auto"/>
              <w:jc w:val="center"/>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Sklad</w:t>
            </w:r>
          </w:p>
        </w:tc>
        <w:tc>
          <w:tcPr>
            <w:tcW w:w="970" w:type="dxa"/>
            <w:shd w:val="clear" w:color="auto" w:fill="D9E1F2"/>
            <w:noWrap/>
            <w:vAlign w:val="bottom"/>
            <w:hideMark/>
          </w:tcPr>
          <w:p w14:paraId="4B1C03F0" w14:textId="77777777" w:rsidR="00D33195" w:rsidRPr="009E5A3A" w:rsidRDefault="00D33195" w:rsidP="00F545BB">
            <w:pPr>
              <w:spacing w:after="0" w:line="240" w:lineRule="auto"/>
              <w:jc w:val="center"/>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Regija</w:t>
            </w:r>
          </w:p>
        </w:tc>
        <w:tc>
          <w:tcPr>
            <w:tcW w:w="1767" w:type="dxa"/>
            <w:shd w:val="clear" w:color="auto" w:fill="D9E1F2"/>
            <w:vAlign w:val="bottom"/>
            <w:hideMark/>
          </w:tcPr>
          <w:p w14:paraId="0CCFEC60" w14:textId="77777777" w:rsidR="00D33195" w:rsidRPr="009E5A3A" w:rsidRDefault="00D33195" w:rsidP="00F545BB">
            <w:pPr>
              <w:spacing w:after="0" w:line="240" w:lineRule="auto"/>
              <w:jc w:val="center"/>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Pravice porabe (EU del)</w:t>
            </w:r>
          </w:p>
        </w:tc>
        <w:tc>
          <w:tcPr>
            <w:tcW w:w="3694" w:type="dxa"/>
            <w:shd w:val="clear" w:color="auto" w:fill="D9E1F2"/>
            <w:noWrap/>
            <w:vAlign w:val="bottom"/>
            <w:hideMark/>
          </w:tcPr>
          <w:p w14:paraId="1FABDEB7" w14:textId="77777777" w:rsidR="00D33195" w:rsidRPr="009E5A3A" w:rsidRDefault="00D33195" w:rsidP="00FE5518">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Predlagane finančne spremembe</w:t>
            </w:r>
          </w:p>
        </w:tc>
        <w:tc>
          <w:tcPr>
            <w:tcW w:w="2239" w:type="dxa"/>
            <w:shd w:val="clear" w:color="auto" w:fill="D9E1F2"/>
            <w:vAlign w:val="bottom"/>
            <w:hideMark/>
          </w:tcPr>
          <w:p w14:paraId="1F8BE308" w14:textId="77777777" w:rsidR="00D33195" w:rsidRPr="009E5A3A" w:rsidRDefault="00D33195" w:rsidP="00F545BB">
            <w:pPr>
              <w:spacing w:after="0" w:line="240" w:lineRule="auto"/>
              <w:jc w:val="center"/>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Pravice porabe po spremembi</w:t>
            </w:r>
          </w:p>
        </w:tc>
        <w:tc>
          <w:tcPr>
            <w:tcW w:w="2680" w:type="dxa"/>
            <w:shd w:val="clear" w:color="auto" w:fill="D9E1F2"/>
            <w:noWrap/>
            <w:vAlign w:val="bottom"/>
            <w:hideMark/>
          </w:tcPr>
          <w:p w14:paraId="5491677F" w14:textId="77777777" w:rsidR="00D33195" w:rsidRPr="009E5A3A" w:rsidRDefault="00D33195" w:rsidP="00F545BB">
            <w:pPr>
              <w:spacing w:after="0" w:line="240" w:lineRule="auto"/>
              <w:jc w:val="center"/>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Obrazložitev</w:t>
            </w:r>
          </w:p>
        </w:tc>
      </w:tr>
      <w:tr w:rsidR="0022402B" w:rsidRPr="00986929" w14:paraId="342A8DF0" w14:textId="77777777" w:rsidTr="00680842">
        <w:trPr>
          <w:trHeight w:val="300"/>
        </w:trPr>
        <w:tc>
          <w:tcPr>
            <w:tcW w:w="423" w:type="dxa"/>
            <w:shd w:val="clear" w:color="auto" w:fill="auto"/>
            <w:noWrap/>
            <w:vAlign w:val="bottom"/>
            <w:hideMark/>
          </w:tcPr>
          <w:p w14:paraId="4B28100F"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1</w:t>
            </w:r>
          </w:p>
        </w:tc>
        <w:tc>
          <w:tcPr>
            <w:tcW w:w="1223" w:type="dxa"/>
            <w:shd w:val="clear" w:color="auto" w:fill="auto"/>
            <w:noWrap/>
            <w:vAlign w:val="bottom"/>
            <w:hideMark/>
          </w:tcPr>
          <w:p w14:paraId="5AFCE9E3"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1.1</w:t>
            </w:r>
          </w:p>
        </w:tc>
        <w:tc>
          <w:tcPr>
            <w:tcW w:w="996" w:type="dxa"/>
            <w:shd w:val="clear" w:color="auto" w:fill="auto"/>
            <w:noWrap/>
            <w:vAlign w:val="bottom"/>
            <w:hideMark/>
          </w:tcPr>
          <w:p w14:paraId="33A58C85"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710CA919"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0DC01BAC"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281.620.000</w:t>
            </w:r>
          </w:p>
        </w:tc>
        <w:tc>
          <w:tcPr>
            <w:tcW w:w="3694" w:type="dxa"/>
            <w:shd w:val="clear" w:color="auto" w:fill="auto"/>
            <w:noWrap/>
            <w:vAlign w:val="bottom"/>
            <w:hideMark/>
          </w:tcPr>
          <w:p w14:paraId="1DF24511"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-44.274.446</w:t>
            </w:r>
          </w:p>
        </w:tc>
        <w:tc>
          <w:tcPr>
            <w:tcW w:w="2239" w:type="dxa"/>
            <w:shd w:val="clear" w:color="auto" w:fill="auto"/>
            <w:noWrap/>
            <w:vAlign w:val="bottom"/>
            <w:hideMark/>
          </w:tcPr>
          <w:p w14:paraId="72505DC3"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237.345.554</w:t>
            </w:r>
          </w:p>
        </w:tc>
        <w:tc>
          <w:tcPr>
            <w:tcW w:w="2680" w:type="dxa"/>
            <w:shd w:val="clear" w:color="auto" w:fill="auto"/>
            <w:noWrap/>
            <w:vAlign w:val="bottom"/>
            <w:hideMark/>
          </w:tcPr>
          <w:p w14:paraId="1029F1B6" w14:textId="0FCC3623"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Prenos na nov RSO1.6</w:t>
            </w:r>
          </w:p>
        </w:tc>
      </w:tr>
      <w:tr w:rsidR="0022402B" w:rsidRPr="00986929" w14:paraId="337E533A" w14:textId="77777777" w:rsidTr="00680842">
        <w:trPr>
          <w:trHeight w:val="300"/>
        </w:trPr>
        <w:tc>
          <w:tcPr>
            <w:tcW w:w="423" w:type="dxa"/>
            <w:shd w:val="clear" w:color="auto" w:fill="auto"/>
            <w:noWrap/>
            <w:vAlign w:val="bottom"/>
            <w:hideMark/>
          </w:tcPr>
          <w:p w14:paraId="5F93FA37"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1</w:t>
            </w:r>
          </w:p>
        </w:tc>
        <w:tc>
          <w:tcPr>
            <w:tcW w:w="1223" w:type="dxa"/>
            <w:shd w:val="clear" w:color="auto" w:fill="auto"/>
            <w:noWrap/>
            <w:vAlign w:val="bottom"/>
            <w:hideMark/>
          </w:tcPr>
          <w:p w14:paraId="4AF2FB81"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1.1</w:t>
            </w:r>
          </w:p>
        </w:tc>
        <w:tc>
          <w:tcPr>
            <w:tcW w:w="996" w:type="dxa"/>
            <w:shd w:val="clear" w:color="auto" w:fill="auto"/>
            <w:noWrap/>
            <w:vAlign w:val="bottom"/>
            <w:hideMark/>
          </w:tcPr>
          <w:p w14:paraId="66A75070"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3BC5CAF4"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2E07CC8E"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132.270.000</w:t>
            </w:r>
          </w:p>
        </w:tc>
        <w:tc>
          <w:tcPr>
            <w:tcW w:w="3694" w:type="dxa"/>
            <w:shd w:val="clear" w:color="auto" w:fill="auto"/>
            <w:noWrap/>
            <w:vAlign w:val="bottom"/>
            <w:hideMark/>
          </w:tcPr>
          <w:p w14:paraId="7C3F3C39"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-17.446.185</w:t>
            </w:r>
          </w:p>
        </w:tc>
        <w:tc>
          <w:tcPr>
            <w:tcW w:w="2239" w:type="dxa"/>
            <w:shd w:val="clear" w:color="auto" w:fill="auto"/>
            <w:noWrap/>
            <w:vAlign w:val="bottom"/>
            <w:hideMark/>
          </w:tcPr>
          <w:p w14:paraId="20F65257"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114.823.815</w:t>
            </w:r>
          </w:p>
        </w:tc>
        <w:tc>
          <w:tcPr>
            <w:tcW w:w="2680" w:type="dxa"/>
            <w:shd w:val="clear" w:color="auto" w:fill="auto"/>
            <w:noWrap/>
            <w:vAlign w:val="bottom"/>
            <w:hideMark/>
          </w:tcPr>
          <w:p w14:paraId="24C1A25B" w14:textId="61812E10"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Prenos na nov RSO1.6</w:t>
            </w:r>
          </w:p>
        </w:tc>
      </w:tr>
      <w:tr w:rsidR="0022402B" w:rsidRPr="00986929" w14:paraId="17B72FD7" w14:textId="77777777" w:rsidTr="00680842">
        <w:trPr>
          <w:trHeight w:val="300"/>
        </w:trPr>
        <w:tc>
          <w:tcPr>
            <w:tcW w:w="423" w:type="dxa"/>
            <w:shd w:val="clear" w:color="auto" w:fill="auto"/>
            <w:noWrap/>
            <w:vAlign w:val="bottom"/>
            <w:hideMark/>
          </w:tcPr>
          <w:p w14:paraId="104BAD91"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1</w:t>
            </w:r>
          </w:p>
        </w:tc>
        <w:tc>
          <w:tcPr>
            <w:tcW w:w="1223" w:type="dxa"/>
            <w:shd w:val="clear" w:color="auto" w:fill="auto"/>
            <w:noWrap/>
            <w:vAlign w:val="bottom"/>
            <w:hideMark/>
          </w:tcPr>
          <w:p w14:paraId="424E50D1"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1.2</w:t>
            </w:r>
          </w:p>
        </w:tc>
        <w:tc>
          <w:tcPr>
            <w:tcW w:w="996" w:type="dxa"/>
            <w:shd w:val="clear" w:color="auto" w:fill="auto"/>
            <w:noWrap/>
            <w:vAlign w:val="bottom"/>
            <w:hideMark/>
          </w:tcPr>
          <w:p w14:paraId="517F4428"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1A669165"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6BE48184"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51.590.772</w:t>
            </w:r>
          </w:p>
        </w:tc>
        <w:tc>
          <w:tcPr>
            <w:tcW w:w="3694" w:type="dxa"/>
            <w:shd w:val="clear" w:color="auto" w:fill="auto"/>
            <w:noWrap/>
            <w:vAlign w:val="bottom"/>
            <w:hideMark/>
          </w:tcPr>
          <w:p w14:paraId="38499D24"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-5.271.912</w:t>
            </w:r>
          </w:p>
        </w:tc>
        <w:tc>
          <w:tcPr>
            <w:tcW w:w="2239" w:type="dxa"/>
            <w:shd w:val="clear" w:color="auto" w:fill="auto"/>
            <w:noWrap/>
            <w:vAlign w:val="bottom"/>
            <w:hideMark/>
          </w:tcPr>
          <w:p w14:paraId="7B1E2F0A"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46.318.860</w:t>
            </w:r>
          </w:p>
        </w:tc>
        <w:tc>
          <w:tcPr>
            <w:tcW w:w="2680" w:type="dxa"/>
            <w:shd w:val="clear" w:color="auto" w:fill="auto"/>
            <w:noWrap/>
            <w:vAlign w:val="bottom"/>
            <w:hideMark/>
          </w:tcPr>
          <w:p w14:paraId="4FFF7EFA" w14:textId="58F1C2C3"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Prenos na nov RSO1.6</w:t>
            </w:r>
          </w:p>
        </w:tc>
      </w:tr>
      <w:tr w:rsidR="0022402B" w:rsidRPr="00986929" w14:paraId="21781CEF" w14:textId="77777777" w:rsidTr="00680842">
        <w:trPr>
          <w:trHeight w:val="300"/>
        </w:trPr>
        <w:tc>
          <w:tcPr>
            <w:tcW w:w="423" w:type="dxa"/>
            <w:shd w:val="clear" w:color="auto" w:fill="auto"/>
            <w:noWrap/>
            <w:vAlign w:val="bottom"/>
            <w:hideMark/>
          </w:tcPr>
          <w:p w14:paraId="69B2F79C"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1</w:t>
            </w:r>
          </w:p>
        </w:tc>
        <w:tc>
          <w:tcPr>
            <w:tcW w:w="1223" w:type="dxa"/>
            <w:shd w:val="clear" w:color="auto" w:fill="auto"/>
            <w:noWrap/>
            <w:vAlign w:val="bottom"/>
            <w:hideMark/>
          </w:tcPr>
          <w:p w14:paraId="11D217D5"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1.2</w:t>
            </w:r>
          </w:p>
        </w:tc>
        <w:tc>
          <w:tcPr>
            <w:tcW w:w="996" w:type="dxa"/>
            <w:shd w:val="clear" w:color="auto" w:fill="auto"/>
            <w:noWrap/>
            <w:vAlign w:val="bottom"/>
            <w:hideMark/>
          </w:tcPr>
          <w:p w14:paraId="43E8F908"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5BA679A7"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1C95DC07"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36.328.372</w:t>
            </w:r>
          </w:p>
        </w:tc>
        <w:tc>
          <w:tcPr>
            <w:tcW w:w="3694" w:type="dxa"/>
            <w:shd w:val="clear" w:color="auto" w:fill="auto"/>
            <w:noWrap/>
            <w:vAlign w:val="bottom"/>
            <w:hideMark/>
          </w:tcPr>
          <w:p w14:paraId="3C26C2A6"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-3.774.024</w:t>
            </w:r>
          </w:p>
        </w:tc>
        <w:tc>
          <w:tcPr>
            <w:tcW w:w="2239" w:type="dxa"/>
            <w:shd w:val="clear" w:color="auto" w:fill="auto"/>
            <w:noWrap/>
            <w:vAlign w:val="bottom"/>
            <w:hideMark/>
          </w:tcPr>
          <w:p w14:paraId="3606266F"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32.554.348</w:t>
            </w:r>
          </w:p>
        </w:tc>
        <w:tc>
          <w:tcPr>
            <w:tcW w:w="2680" w:type="dxa"/>
            <w:shd w:val="clear" w:color="auto" w:fill="auto"/>
            <w:noWrap/>
            <w:vAlign w:val="bottom"/>
            <w:hideMark/>
          </w:tcPr>
          <w:p w14:paraId="24FD38C8" w14:textId="2D04E6D1"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Prenos na nov RSO1.6</w:t>
            </w:r>
          </w:p>
        </w:tc>
      </w:tr>
      <w:tr w:rsidR="0022402B" w:rsidRPr="00986929" w14:paraId="7E53EAA2" w14:textId="77777777" w:rsidTr="00680842">
        <w:trPr>
          <w:trHeight w:val="300"/>
        </w:trPr>
        <w:tc>
          <w:tcPr>
            <w:tcW w:w="423" w:type="dxa"/>
            <w:shd w:val="clear" w:color="auto" w:fill="auto"/>
            <w:noWrap/>
            <w:vAlign w:val="bottom"/>
            <w:hideMark/>
          </w:tcPr>
          <w:p w14:paraId="17FAD338"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1</w:t>
            </w:r>
          </w:p>
        </w:tc>
        <w:tc>
          <w:tcPr>
            <w:tcW w:w="1223" w:type="dxa"/>
            <w:shd w:val="clear" w:color="auto" w:fill="auto"/>
            <w:noWrap/>
            <w:vAlign w:val="bottom"/>
            <w:hideMark/>
          </w:tcPr>
          <w:p w14:paraId="0C85CF62"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1.3</w:t>
            </w:r>
          </w:p>
        </w:tc>
        <w:tc>
          <w:tcPr>
            <w:tcW w:w="996" w:type="dxa"/>
            <w:shd w:val="clear" w:color="auto" w:fill="auto"/>
            <w:noWrap/>
            <w:vAlign w:val="bottom"/>
            <w:hideMark/>
          </w:tcPr>
          <w:p w14:paraId="04719362"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142FD399"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09D54284"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120.262.353</w:t>
            </w:r>
          </w:p>
        </w:tc>
        <w:tc>
          <w:tcPr>
            <w:tcW w:w="3694" w:type="dxa"/>
            <w:shd w:val="clear" w:color="auto" w:fill="auto"/>
            <w:noWrap/>
            <w:vAlign w:val="bottom"/>
            <w:hideMark/>
          </w:tcPr>
          <w:p w14:paraId="556582B1"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325397BE"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120.262.353</w:t>
            </w:r>
          </w:p>
        </w:tc>
        <w:tc>
          <w:tcPr>
            <w:tcW w:w="2680" w:type="dxa"/>
            <w:shd w:val="clear" w:color="auto" w:fill="auto"/>
            <w:noWrap/>
            <w:vAlign w:val="bottom"/>
            <w:hideMark/>
          </w:tcPr>
          <w:p w14:paraId="4BF12CE3"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24C91C8F" w14:textId="77777777" w:rsidTr="00680842">
        <w:trPr>
          <w:trHeight w:val="300"/>
        </w:trPr>
        <w:tc>
          <w:tcPr>
            <w:tcW w:w="423" w:type="dxa"/>
            <w:shd w:val="clear" w:color="auto" w:fill="auto"/>
            <w:noWrap/>
            <w:vAlign w:val="bottom"/>
            <w:hideMark/>
          </w:tcPr>
          <w:p w14:paraId="745D57D0"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1</w:t>
            </w:r>
          </w:p>
        </w:tc>
        <w:tc>
          <w:tcPr>
            <w:tcW w:w="1223" w:type="dxa"/>
            <w:shd w:val="clear" w:color="auto" w:fill="auto"/>
            <w:noWrap/>
            <w:vAlign w:val="bottom"/>
            <w:hideMark/>
          </w:tcPr>
          <w:p w14:paraId="3BFEB648"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1.3</w:t>
            </w:r>
          </w:p>
        </w:tc>
        <w:tc>
          <w:tcPr>
            <w:tcW w:w="996" w:type="dxa"/>
            <w:shd w:val="clear" w:color="auto" w:fill="auto"/>
            <w:noWrap/>
            <w:vAlign w:val="bottom"/>
            <w:hideMark/>
          </w:tcPr>
          <w:p w14:paraId="35A3BB67"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655930B0"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29ADBAB6"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62.919.472</w:t>
            </w:r>
          </w:p>
        </w:tc>
        <w:tc>
          <w:tcPr>
            <w:tcW w:w="3694" w:type="dxa"/>
            <w:shd w:val="clear" w:color="auto" w:fill="auto"/>
            <w:noWrap/>
            <w:vAlign w:val="bottom"/>
            <w:hideMark/>
          </w:tcPr>
          <w:p w14:paraId="08E0ABBE"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2E294069"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62.919.472</w:t>
            </w:r>
          </w:p>
        </w:tc>
        <w:tc>
          <w:tcPr>
            <w:tcW w:w="2680" w:type="dxa"/>
            <w:shd w:val="clear" w:color="auto" w:fill="auto"/>
            <w:noWrap/>
            <w:vAlign w:val="bottom"/>
            <w:hideMark/>
          </w:tcPr>
          <w:p w14:paraId="7F98D24F"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0E9A1FB2" w14:textId="77777777" w:rsidTr="00680842">
        <w:trPr>
          <w:trHeight w:val="300"/>
        </w:trPr>
        <w:tc>
          <w:tcPr>
            <w:tcW w:w="423" w:type="dxa"/>
            <w:shd w:val="clear" w:color="auto" w:fill="auto"/>
            <w:noWrap/>
            <w:vAlign w:val="bottom"/>
            <w:hideMark/>
          </w:tcPr>
          <w:p w14:paraId="5259572A"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1</w:t>
            </w:r>
          </w:p>
        </w:tc>
        <w:tc>
          <w:tcPr>
            <w:tcW w:w="1223" w:type="dxa"/>
            <w:shd w:val="clear" w:color="auto" w:fill="auto"/>
            <w:noWrap/>
            <w:vAlign w:val="bottom"/>
            <w:hideMark/>
          </w:tcPr>
          <w:p w14:paraId="4871CF75"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1.4</w:t>
            </w:r>
          </w:p>
        </w:tc>
        <w:tc>
          <w:tcPr>
            <w:tcW w:w="996" w:type="dxa"/>
            <w:shd w:val="clear" w:color="auto" w:fill="auto"/>
            <w:noWrap/>
            <w:vAlign w:val="bottom"/>
            <w:hideMark/>
          </w:tcPr>
          <w:p w14:paraId="5130963E"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5000A117"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4330BDA8"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16.810.200</w:t>
            </w:r>
          </w:p>
        </w:tc>
        <w:tc>
          <w:tcPr>
            <w:tcW w:w="3694" w:type="dxa"/>
            <w:shd w:val="clear" w:color="auto" w:fill="auto"/>
            <w:noWrap/>
            <w:vAlign w:val="bottom"/>
            <w:hideMark/>
          </w:tcPr>
          <w:p w14:paraId="3FE8A8C1"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-7.053.256</w:t>
            </w:r>
          </w:p>
        </w:tc>
        <w:tc>
          <w:tcPr>
            <w:tcW w:w="2239" w:type="dxa"/>
            <w:shd w:val="clear" w:color="auto" w:fill="auto"/>
            <w:noWrap/>
            <w:vAlign w:val="bottom"/>
            <w:hideMark/>
          </w:tcPr>
          <w:p w14:paraId="5B9EBBF8"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9.756.944</w:t>
            </w:r>
          </w:p>
        </w:tc>
        <w:tc>
          <w:tcPr>
            <w:tcW w:w="2680" w:type="dxa"/>
            <w:shd w:val="clear" w:color="auto" w:fill="auto"/>
            <w:noWrap/>
            <w:vAlign w:val="bottom"/>
            <w:hideMark/>
          </w:tcPr>
          <w:p w14:paraId="739DFA59" w14:textId="6AECDA6D"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Prenos na nov RSO1.6</w:t>
            </w:r>
          </w:p>
        </w:tc>
      </w:tr>
      <w:tr w:rsidR="0022402B" w:rsidRPr="00986929" w14:paraId="0E251D46" w14:textId="77777777" w:rsidTr="00680842">
        <w:trPr>
          <w:trHeight w:val="300"/>
        </w:trPr>
        <w:tc>
          <w:tcPr>
            <w:tcW w:w="423" w:type="dxa"/>
            <w:shd w:val="clear" w:color="auto" w:fill="auto"/>
            <w:noWrap/>
            <w:vAlign w:val="bottom"/>
            <w:hideMark/>
          </w:tcPr>
          <w:p w14:paraId="49BEB0C7"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1</w:t>
            </w:r>
          </w:p>
        </w:tc>
        <w:tc>
          <w:tcPr>
            <w:tcW w:w="1223" w:type="dxa"/>
            <w:shd w:val="clear" w:color="auto" w:fill="auto"/>
            <w:noWrap/>
            <w:vAlign w:val="bottom"/>
            <w:hideMark/>
          </w:tcPr>
          <w:p w14:paraId="33909637"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1.4</w:t>
            </w:r>
          </w:p>
        </w:tc>
        <w:tc>
          <w:tcPr>
            <w:tcW w:w="996" w:type="dxa"/>
            <w:shd w:val="clear" w:color="auto" w:fill="auto"/>
            <w:noWrap/>
            <w:vAlign w:val="bottom"/>
            <w:hideMark/>
          </w:tcPr>
          <w:p w14:paraId="4CDF803D"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35479035"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15741840"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5.709.900</w:t>
            </w:r>
          </w:p>
        </w:tc>
        <w:tc>
          <w:tcPr>
            <w:tcW w:w="3694" w:type="dxa"/>
            <w:shd w:val="clear" w:color="auto" w:fill="auto"/>
            <w:noWrap/>
            <w:vAlign w:val="bottom"/>
            <w:hideMark/>
          </w:tcPr>
          <w:p w14:paraId="21D2FE4F"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-2.180.177</w:t>
            </w:r>
          </w:p>
        </w:tc>
        <w:tc>
          <w:tcPr>
            <w:tcW w:w="2239" w:type="dxa"/>
            <w:shd w:val="clear" w:color="auto" w:fill="auto"/>
            <w:noWrap/>
            <w:vAlign w:val="bottom"/>
            <w:hideMark/>
          </w:tcPr>
          <w:p w14:paraId="3672D2E0"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3.529.723</w:t>
            </w:r>
          </w:p>
        </w:tc>
        <w:tc>
          <w:tcPr>
            <w:tcW w:w="2680" w:type="dxa"/>
            <w:shd w:val="clear" w:color="auto" w:fill="auto"/>
            <w:noWrap/>
            <w:vAlign w:val="bottom"/>
            <w:hideMark/>
          </w:tcPr>
          <w:p w14:paraId="6E109B5C" w14:textId="71F392A2"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Prenos na nov RSO1.6</w:t>
            </w:r>
          </w:p>
        </w:tc>
      </w:tr>
      <w:tr w:rsidR="0022402B" w:rsidRPr="00986929" w14:paraId="0B52C614" w14:textId="77777777" w:rsidTr="00680842">
        <w:trPr>
          <w:trHeight w:val="300"/>
        </w:trPr>
        <w:tc>
          <w:tcPr>
            <w:tcW w:w="423" w:type="dxa"/>
            <w:shd w:val="clear" w:color="auto" w:fill="auto"/>
            <w:noWrap/>
            <w:vAlign w:val="bottom"/>
            <w:hideMark/>
          </w:tcPr>
          <w:p w14:paraId="40E0BBDB"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1</w:t>
            </w:r>
          </w:p>
        </w:tc>
        <w:tc>
          <w:tcPr>
            <w:tcW w:w="1223" w:type="dxa"/>
            <w:shd w:val="clear" w:color="auto" w:fill="auto"/>
            <w:noWrap/>
            <w:vAlign w:val="bottom"/>
            <w:hideMark/>
          </w:tcPr>
          <w:p w14:paraId="08938798"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RSO1.6</w:t>
            </w:r>
          </w:p>
        </w:tc>
        <w:tc>
          <w:tcPr>
            <w:tcW w:w="996" w:type="dxa"/>
            <w:shd w:val="clear" w:color="auto" w:fill="auto"/>
            <w:noWrap/>
            <w:vAlign w:val="bottom"/>
            <w:hideMark/>
          </w:tcPr>
          <w:p w14:paraId="1EC58D31"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1BC64268"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1FEE4CB3"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0</w:t>
            </w:r>
          </w:p>
        </w:tc>
        <w:tc>
          <w:tcPr>
            <w:tcW w:w="3694" w:type="dxa"/>
            <w:shd w:val="clear" w:color="auto" w:fill="auto"/>
            <w:noWrap/>
            <w:vAlign w:val="bottom"/>
            <w:hideMark/>
          </w:tcPr>
          <w:p w14:paraId="14013C5B"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71.099.614</w:t>
            </w:r>
          </w:p>
        </w:tc>
        <w:tc>
          <w:tcPr>
            <w:tcW w:w="2239" w:type="dxa"/>
            <w:shd w:val="clear" w:color="auto" w:fill="auto"/>
            <w:noWrap/>
            <w:vAlign w:val="bottom"/>
            <w:hideMark/>
          </w:tcPr>
          <w:p w14:paraId="0E7533EC"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71.099.614</w:t>
            </w:r>
          </w:p>
        </w:tc>
        <w:tc>
          <w:tcPr>
            <w:tcW w:w="2680" w:type="dxa"/>
            <w:shd w:val="clear" w:color="auto" w:fill="auto"/>
            <w:noWrap/>
            <w:vAlign w:val="bottom"/>
            <w:hideMark/>
          </w:tcPr>
          <w:p w14:paraId="41559570" w14:textId="34FA34E3"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Nov RSO1.6 za namene STEP</w:t>
            </w:r>
          </w:p>
        </w:tc>
      </w:tr>
      <w:tr w:rsidR="0022402B" w:rsidRPr="00986929" w14:paraId="33A8C73E" w14:textId="77777777" w:rsidTr="00680842">
        <w:trPr>
          <w:trHeight w:val="300"/>
        </w:trPr>
        <w:tc>
          <w:tcPr>
            <w:tcW w:w="423" w:type="dxa"/>
            <w:shd w:val="clear" w:color="auto" w:fill="auto"/>
            <w:noWrap/>
            <w:vAlign w:val="bottom"/>
            <w:hideMark/>
          </w:tcPr>
          <w:p w14:paraId="01859F52"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1</w:t>
            </w:r>
          </w:p>
        </w:tc>
        <w:tc>
          <w:tcPr>
            <w:tcW w:w="1223" w:type="dxa"/>
            <w:shd w:val="clear" w:color="auto" w:fill="auto"/>
            <w:noWrap/>
            <w:vAlign w:val="bottom"/>
            <w:hideMark/>
          </w:tcPr>
          <w:p w14:paraId="7E3DCD26"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RSO1.6</w:t>
            </w:r>
          </w:p>
        </w:tc>
        <w:tc>
          <w:tcPr>
            <w:tcW w:w="996" w:type="dxa"/>
            <w:shd w:val="clear" w:color="auto" w:fill="auto"/>
            <w:noWrap/>
            <w:vAlign w:val="bottom"/>
            <w:hideMark/>
          </w:tcPr>
          <w:p w14:paraId="23F42C22"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694DE6FF"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6CA3ABE3"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0</w:t>
            </w:r>
          </w:p>
        </w:tc>
        <w:tc>
          <w:tcPr>
            <w:tcW w:w="3694" w:type="dxa"/>
            <w:shd w:val="clear" w:color="auto" w:fill="auto"/>
            <w:noWrap/>
            <w:vAlign w:val="bottom"/>
            <w:hideMark/>
          </w:tcPr>
          <w:p w14:paraId="5E0608D7"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28.900.386</w:t>
            </w:r>
          </w:p>
        </w:tc>
        <w:tc>
          <w:tcPr>
            <w:tcW w:w="2239" w:type="dxa"/>
            <w:shd w:val="clear" w:color="auto" w:fill="auto"/>
            <w:noWrap/>
            <w:vAlign w:val="bottom"/>
            <w:hideMark/>
          </w:tcPr>
          <w:p w14:paraId="288E172B"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28.900.386</w:t>
            </w:r>
          </w:p>
        </w:tc>
        <w:tc>
          <w:tcPr>
            <w:tcW w:w="2680" w:type="dxa"/>
            <w:shd w:val="clear" w:color="auto" w:fill="auto"/>
            <w:noWrap/>
            <w:vAlign w:val="bottom"/>
            <w:hideMark/>
          </w:tcPr>
          <w:p w14:paraId="6E1B9825" w14:textId="1F06AC4D"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Nov RSO1.6 za namene STEP</w:t>
            </w:r>
          </w:p>
        </w:tc>
      </w:tr>
      <w:tr w:rsidR="0022402B" w:rsidRPr="00986929" w14:paraId="4443912B" w14:textId="77777777" w:rsidTr="00680842">
        <w:trPr>
          <w:trHeight w:val="300"/>
        </w:trPr>
        <w:tc>
          <w:tcPr>
            <w:tcW w:w="423" w:type="dxa"/>
            <w:shd w:val="clear" w:color="auto" w:fill="auto"/>
            <w:noWrap/>
            <w:vAlign w:val="bottom"/>
            <w:hideMark/>
          </w:tcPr>
          <w:p w14:paraId="6CF05C7A"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2</w:t>
            </w:r>
          </w:p>
        </w:tc>
        <w:tc>
          <w:tcPr>
            <w:tcW w:w="1223" w:type="dxa"/>
            <w:shd w:val="clear" w:color="auto" w:fill="auto"/>
            <w:noWrap/>
            <w:vAlign w:val="bottom"/>
            <w:hideMark/>
          </w:tcPr>
          <w:p w14:paraId="5C18B50C"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1.5</w:t>
            </w:r>
          </w:p>
        </w:tc>
        <w:tc>
          <w:tcPr>
            <w:tcW w:w="996" w:type="dxa"/>
            <w:shd w:val="clear" w:color="auto" w:fill="auto"/>
            <w:noWrap/>
            <w:vAlign w:val="bottom"/>
            <w:hideMark/>
          </w:tcPr>
          <w:p w14:paraId="3AE66999"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346DDD10"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75C6776A"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15.584.000</w:t>
            </w:r>
          </w:p>
        </w:tc>
        <w:tc>
          <w:tcPr>
            <w:tcW w:w="3694" w:type="dxa"/>
            <w:shd w:val="clear" w:color="auto" w:fill="auto"/>
            <w:noWrap/>
            <w:vAlign w:val="bottom"/>
            <w:hideMark/>
          </w:tcPr>
          <w:p w14:paraId="59E01E15"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05EF0025"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15.584.000</w:t>
            </w:r>
          </w:p>
        </w:tc>
        <w:tc>
          <w:tcPr>
            <w:tcW w:w="2680" w:type="dxa"/>
            <w:shd w:val="clear" w:color="auto" w:fill="auto"/>
            <w:noWrap/>
            <w:vAlign w:val="bottom"/>
            <w:hideMark/>
          </w:tcPr>
          <w:p w14:paraId="3CE5503A"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6CBB7DB4" w14:textId="77777777" w:rsidTr="00680842">
        <w:trPr>
          <w:trHeight w:val="300"/>
        </w:trPr>
        <w:tc>
          <w:tcPr>
            <w:tcW w:w="423" w:type="dxa"/>
            <w:shd w:val="clear" w:color="auto" w:fill="auto"/>
            <w:noWrap/>
            <w:vAlign w:val="bottom"/>
            <w:hideMark/>
          </w:tcPr>
          <w:p w14:paraId="6F24FF20"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2</w:t>
            </w:r>
          </w:p>
        </w:tc>
        <w:tc>
          <w:tcPr>
            <w:tcW w:w="1223" w:type="dxa"/>
            <w:shd w:val="clear" w:color="auto" w:fill="auto"/>
            <w:noWrap/>
            <w:vAlign w:val="bottom"/>
            <w:hideMark/>
          </w:tcPr>
          <w:p w14:paraId="795C6D07"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1.5</w:t>
            </w:r>
          </w:p>
        </w:tc>
        <w:tc>
          <w:tcPr>
            <w:tcW w:w="996" w:type="dxa"/>
            <w:shd w:val="clear" w:color="auto" w:fill="auto"/>
            <w:noWrap/>
            <w:vAlign w:val="bottom"/>
            <w:hideMark/>
          </w:tcPr>
          <w:p w14:paraId="69CF8FDD"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5ACF07E5"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536ECAA3"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4.078.744</w:t>
            </w:r>
          </w:p>
        </w:tc>
        <w:tc>
          <w:tcPr>
            <w:tcW w:w="3694" w:type="dxa"/>
            <w:shd w:val="clear" w:color="auto" w:fill="auto"/>
            <w:noWrap/>
            <w:vAlign w:val="bottom"/>
            <w:hideMark/>
          </w:tcPr>
          <w:p w14:paraId="5C609F03"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01C12117"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4.078.744</w:t>
            </w:r>
          </w:p>
        </w:tc>
        <w:tc>
          <w:tcPr>
            <w:tcW w:w="2680" w:type="dxa"/>
            <w:shd w:val="clear" w:color="auto" w:fill="auto"/>
            <w:noWrap/>
            <w:vAlign w:val="bottom"/>
            <w:hideMark/>
          </w:tcPr>
          <w:p w14:paraId="691F3184"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78237F66" w14:textId="77777777" w:rsidTr="00680842">
        <w:trPr>
          <w:trHeight w:val="300"/>
        </w:trPr>
        <w:tc>
          <w:tcPr>
            <w:tcW w:w="423" w:type="dxa"/>
            <w:shd w:val="clear" w:color="auto" w:fill="auto"/>
            <w:noWrap/>
            <w:hideMark/>
          </w:tcPr>
          <w:p w14:paraId="6FD250AF" w14:textId="53AD7364" w:rsidR="00FD1018" w:rsidRPr="00986929" w:rsidRDefault="00FD1018" w:rsidP="00FD1018">
            <w:pPr>
              <w:spacing w:after="0" w:line="240" w:lineRule="auto"/>
              <w:rPr>
                <w:rFonts w:eastAsia="Times New Roman" w:cs="Arial"/>
                <w:color w:val="000000"/>
                <w:kern w:val="0"/>
                <w:szCs w:val="20"/>
                <w:lang w:eastAsia="sl-SI"/>
                <w14:ligatures w14:val="none"/>
              </w:rPr>
            </w:pPr>
            <w:r w:rsidRPr="003B7528">
              <w:t>3</w:t>
            </w:r>
          </w:p>
        </w:tc>
        <w:tc>
          <w:tcPr>
            <w:tcW w:w="1223" w:type="dxa"/>
            <w:shd w:val="clear" w:color="auto" w:fill="auto"/>
            <w:noWrap/>
            <w:hideMark/>
          </w:tcPr>
          <w:p w14:paraId="726E31CC" w14:textId="02DA6050" w:rsidR="00FD1018" w:rsidRPr="00986929" w:rsidRDefault="00FD1018" w:rsidP="00FD1018">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RSO 2.1</w:t>
            </w:r>
          </w:p>
        </w:tc>
        <w:tc>
          <w:tcPr>
            <w:tcW w:w="996" w:type="dxa"/>
            <w:shd w:val="clear" w:color="auto" w:fill="auto"/>
            <w:noWrap/>
            <w:hideMark/>
          </w:tcPr>
          <w:p w14:paraId="0879526E" w14:textId="31166C43" w:rsidR="00FD1018" w:rsidRPr="00986929" w:rsidRDefault="00FD1018" w:rsidP="00FD1018">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ESRR</w:t>
            </w:r>
          </w:p>
        </w:tc>
        <w:tc>
          <w:tcPr>
            <w:tcW w:w="970" w:type="dxa"/>
            <w:shd w:val="clear" w:color="auto" w:fill="auto"/>
            <w:noWrap/>
            <w:hideMark/>
          </w:tcPr>
          <w:p w14:paraId="315BE80E" w14:textId="001869FD" w:rsidR="00FD1018" w:rsidRPr="00986929" w:rsidRDefault="00FD1018" w:rsidP="00FD1018">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Vzhod</w:t>
            </w:r>
          </w:p>
        </w:tc>
        <w:tc>
          <w:tcPr>
            <w:tcW w:w="1767" w:type="dxa"/>
            <w:shd w:val="clear" w:color="auto" w:fill="auto"/>
            <w:noWrap/>
            <w:hideMark/>
          </w:tcPr>
          <w:p w14:paraId="2DE22D5D" w14:textId="6E9ECB98" w:rsidR="00FD1018" w:rsidRPr="00986929" w:rsidRDefault="00FD1018" w:rsidP="00FD1018">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32.539.537</w:t>
            </w:r>
          </w:p>
        </w:tc>
        <w:tc>
          <w:tcPr>
            <w:tcW w:w="3694" w:type="dxa"/>
            <w:shd w:val="clear" w:color="auto" w:fill="auto"/>
            <w:noWrap/>
            <w:hideMark/>
          </w:tcPr>
          <w:p w14:paraId="58F31F2D" w14:textId="4FFC6888" w:rsidR="00FD1018" w:rsidRPr="00986929" w:rsidRDefault="3563ADB7" w:rsidP="00FD1018">
            <w:pPr>
              <w:spacing w:after="0" w:line="240" w:lineRule="auto"/>
              <w:rPr>
                <w:rFonts w:eastAsia="Times New Roman" w:cs="Arial"/>
                <w:kern w:val="0"/>
                <w:lang w:eastAsia="sl-SI"/>
                <w14:ligatures w14:val="none"/>
              </w:rPr>
            </w:pPr>
            <w:r w:rsidRPr="718E95E5" w:rsidDel="0078580E">
              <w:rPr>
                <w:rFonts w:eastAsia="Times New Roman" w:cs="Arial"/>
                <w:kern w:val="0"/>
                <w:lang w:eastAsia="sl-SI"/>
                <w14:ligatures w14:val="none"/>
              </w:rPr>
              <w:t> </w:t>
            </w:r>
          </w:p>
        </w:tc>
        <w:tc>
          <w:tcPr>
            <w:tcW w:w="2239" w:type="dxa"/>
            <w:shd w:val="clear" w:color="auto" w:fill="auto"/>
            <w:noWrap/>
            <w:hideMark/>
          </w:tcPr>
          <w:p w14:paraId="01FFEBC0" w14:textId="25D4578C" w:rsidR="00FD1018" w:rsidRPr="00986929" w:rsidRDefault="00FD1018" w:rsidP="00FD1018">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32.539.537</w:t>
            </w:r>
          </w:p>
        </w:tc>
        <w:tc>
          <w:tcPr>
            <w:tcW w:w="2680" w:type="dxa"/>
            <w:shd w:val="clear" w:color="auto" w:fill="auto"/>
            <w:noWrap/>
            <w:hideMark/>
          </w:tcPr>
          <w:p w14:paraId="5203D587" w14:textId="77777777" w:rsidR="00FD1018" w:rsidRPr="00986929" w:rsidRDefault="00FD1018" w:rsidP="00FD1018">
            <w:pPr>
              <w:spacing w:after="0" w:line="240" w:lineRule="auto"/>
              <w:rPr>
                <w:rFonts w:eastAsia="Times New Roman" w:cs="Arial"/>
                <w:color w:val="000000"/>
                <w:kern w:val="0"/>
                <w:lang w:eastAsia="sl-SI"/>
                <w14:ligatures w14:val="none"/>
              </w:rPr>
            </w:pPr>
            <w:r w:rsidRPr="718E95E5" w:rsidDel="0078580E">
              <w:rPr>
                <w:rFonts w:eastAsia="Times New Roman" w:cs="Arial"/>
                <w:color w:val="000000"/>
                <w:kern w:val="0"/>
                <w:lang w:eastAsia="sl-SI"/>
                <w14:ligatures w14:val="none"/>
              </w:rPr>
              <w:t> </w:t>
            </w:r>
          </w:p>
        </w:tc>
      </w:tr>
      <w:tr w:rsidR="0022402B" w:rsidRPr="00986929" w14:paraId="45F5663A" w14:textId="77777777" w:rsidTr="00680842">
        <w:trPr>
          <w:trHeight w:val="300"/>
        </w:trPr>
        <w:tc>
          <w:tcPr>
            <w:tcW w:w="423" w:type="dxa"/>
            <w:shd w:val="clear" w:color="auto" w:fill="auto"/>
            <w:noWrap/>
            <w:hideMark/>
          </w:tcPr>
          <w:p w14:paraId="04DB575B" w14:textId="403099DF" w:rsidR="00FD1018" w:rsidRPr="00986929" w:rsidRDefault="00FD1018" w:rsidP="00FD1018">
            <w:pPr>
              <w:spacing w:after="0" w:line="240" w:lineRule="auto"/>
              <w:rPr>
                <w:rFonts w:eastAsia="Times New Roman" w:cs="Arial"/>
                <w:color w:val="000000"/>
                <w:kern w:val="0"/>
                <w:szCs w:val="20"/>
                <w:lang w:eastAsia="sl-SI"/>
                <w14:ligatures w14:val="none"/>
              </w:rPr>
            </w:pPr>
            <w:r w:rsidRPr="003B7528">
              <w:t>3</w:t>
            </w:r>
          </w:p>
        </w:tc>
        <w:tc>
          <w:tcPr>
            <w:tcW w:w="1223" w:type="dxa"/>
            <w:shd w:val="clear" w:color="auto" w:fill="auto"/>
            <w:noWrap/>
            <w:hideMark/>
          </w:tcPr>
          <w:p w14:paraId="6DB2F5BA" w14:textId="340DF219" w:rsidR="00FD1018" w:rsidRPr="00986929" w:rsidRDefault="00FD1018" w:rsidP="00FD1018">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RSO 2.1</w:t>
            </w:r>
          </w:p>
        </w:tc>
        <w:tc>
          <w:tcPr>
            <w:tcW w:w="996" w:type="dxa"/>
            <w:shd w:val="clear" w:color="auto" w:fill="auto"/>
            <w:noWrap/>
            <w:hideMark/>
          </w:tcPr>
          <w:p w14:paraId="0589DF34" w14:textId="1B8D55A3" w:rsidR="00FD1018" w:rsidRPr="00986929" w:rsidRDefault="00FD1018" w:rsidP="00FD1018">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ESRR</w:t>
            </w:r>
          </w:p>
        </w:tc>
        <w:tc>
          <w:tcPr>
            <w:tcW w:w="970" w:type="dxa"/>
            <w:shd w:val="clear" w:color="auto" w:fill="auto"/>
            <w:noWrap/>
            <w:hideMark/>
          </w:tcPr>
          <w:p w14:paraId="15448078" w14:textId="634A04DD" w:rsidR="00FD1018" w:rsidRPr="00986929" w:rsidRDefault="00FD1018" w:rsidP="00FD1018">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Zahod</w:t>
            </w:r>
          </w:p>
        </w:tc>
        <w:tc>
          <w:tcPr>
            <w:tcW w:w="1767" w:type="dxa"/>
            <w:shd w:val="clear" w:color="auto" w:fill="auto"/>
            <w:noWrap/>
            <w:hideMark/>
          </w:tcPr>
          <w:p w14:paraId="00014660" w14:textId="63CE177C" w:rsidR="00FD1018" w:rsidRPr="00986929" w:rsidRDefault="00FD1018" w:rsidP="00FD1018">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10.675.896</w:t>
            </w:r>
          </w:p>
        </w:tc>
        <w:tc>
          <w:tcPr>
            <w:tcW w:w="3694" w:type="dxa"/>
            <w:shd w:val="clear" w:color="auto" w:fill="auto"/>
            <w:noWrap/>
            <w:hideMark/>
          </w:tcPr>
          <w:p w14:paraId="4BF58EFD" w14:textId="4F81BB10" w:rsidR="00FD1018" w:rsidRPr="00986929" w:rsidRDefault="3563ADB7" w:rsidP="00FD1018">
            <w:pPr>
              <w:spacing w:after="0" w:line="240" w:lineRule="auto"/>
              <w:rPr>
                <w:rFonts w:eastAsia="Times New Roman" w:cs="Arial"/>
                <w:kern w:val="0"/>
                <w:lang w:eastAsia="sl-SI"/>
                <w14:ligatures w14:val="none"/>
              </w:rPr>
            </w:pPr>
            <w:r w:rsidRPr="718E95E5" w:rsidDel="0078580E">
              <w:rPr>
                <w:rFonts w:eastAsia="Times New Roman" w:cs="Arial"/>
                <w:kern w:val="0"/>
                <w:lang w:eastAsia="sl-SI"/>
                <w14:ligatures w14:val="none"/>
              </w:rPr>
              <w:t> </w:t>
            </w:r>
          </w:p>
        </w:tc>
        <w:tc>
          <w:tcPr>
            <w:tcW w:w="2239" w:type="dxa"/>
            <w:shd w:val="clear" w:color="auto" w:fill="auto"/>
            <w:noWrap/>
            <w:hideMark/>
          </w:tcPr>
          <w:p w14:paraId="267B7002" w14:textId="6DF9F70F" w:rsidR="00FD1018" w:rsidRPr="00986929" w:rsidRDefault="00FD1018" w:rsidP="00FD1018">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10.675.896</w:t>
            </w:r>
          </w:p>
        </w:tc>
        <w:tc>
          <w:tcPr>
            <w:tcW w:w="2680" w:type="dxa"/>
            <w:shd w:val="clear" w:color="auto" w:fill="auto"/>
            <w:noWrap/>
            <w:hideMark/>
          </w:tcPr>
          <w:p w14:paraId="6884B3DF" w14:textId="77777777" w:rsidR="00FD1018" w:rsidRPr="00986929" w:rsidRDefault="00FD1018" w:rsidP="00FD1018">
            <w:pPr>
              <w:spacing w:after="0" w:line="240" w:lineRule="auto"/>
              <w:rPr>
                <w:rFonts w:eastAsia="Times New Roman" w:cs="Arial"/>
                <w:color w:val="000000"/>
                <w:kern w:val="0"/>
                <w:lang w:eastAsia="sl-SI"/>
                <w14:ligatures w14:val="none"/>
              </w:rPr>
            </w:pPr>
            <w:r w:rsidRPr="718E95E5" w:rsidDel="0078580E">
              <w:rPr>
                <w:rFonts w:eastAsia="Times New Roman" w:cs="Arial"/>
                <w:color w:val="000000"/>
                <w:kern w:val="0"/>
                <w:lang w:eastAsia="sl-SI"/>
                <w14:ligatures w14:val="none"/>
              </w:rPr>
              <w:t> </w:t>
            </w:r>
          </w:p>
        </w:tc>
      </w:tr>
      <w:tr w:rsidR="0022402B" w:rsidRPr="00986929" w14:paraId="7519B59E" w14:textId="77777777" w:rsidTr="00680842">
        <w:trPr>
          <w:trHeight w:val="300"/>
        </w:trPr>
        <w:tc>
          <w:tcPr>
            <w:tcW w:w="423" w:type="dxa"/>
            <w:shd w:val="clear" w:color="auto" w:fill="auto"/>
            <w:noWrap/>
            <w:hideMark/>
          </w:tcPr>
          <w:p w14:paraId="725F8E57" w14:textId="238BD1FC" w:rsidR="00FD1018" w:rsidRPr="00986929" w:rsidRDefault="00FD1018" w:rsidP="00FD1018">
            <w:pPr>
              <w:spacing w:after="0" w:line="240" w:lineRule="auto"/>
              <w:rPr>
                <w:rFonts w:eastAsia="Times New Roman" w:cs="Arial"/>
                <w:color w:val="000000"/>
                <w:kern w:val="0"/>
                <w:szCs w:val="20"/>
                <w:lang w:eastAsia="sl-SI"/>
                <w14:ligatures w14:val="none"/>
              </w:rPr>
            </w:pPr>
            <w:r w:rsidRPr="003B7528">
              <w:t>3</w:t>
            </w:r>
          </w:p>
        </w:tc>
        <w:tc>
          <w:tcPr>
            <w:tcW w:w="1223" w:type="dxa"/>
            <w:shd w:val="clear" w:color="auto" w:fill="auto"/>
            <w:noWrap/>
            <w:hideMark/>
          </w:tcPr>
          <w:p w14:paraId="56E4A68D" w14:textId="7607B2A2" w:rsidR="00FD1018" w:rsidRPr="00986929" w:rsidRDefault="00FD1018" w:rsidP="00FD1018">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RSO 2.1</w:t>
            </w:r>
          </w:p>
        </w:tc>
        <w:tc>
          <w:tcPr>
            <w:tcW w:w="996" w:type="dxa"/>
            <w:shd w:val="clear" w:color="auto" w:fill="auto"/>
            <w:noWrap/>
            <w:hideMark/>
          </w:tcPr>
          <w:p w14:paraId="1CD64E4F" w14:textId="24C723CE" w:rsidR="00FD1018" w:rsidRPr="00986929" w:rsidRDefault="00FD1018" w:rsidP="00FD1018">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KS</w:t>
            </w:r>
          </w:p>
        </w:tc>
        <w:tc>
          <w:tcPr>
            <w:tcW w:w="970" w:type="dxa"/>
            <w:shd w:val="clear" w:color="auto" w:fill="auto"/>
            <w:noWrap/>
            <w:hideMark/>
          </w:tcPr>
          <w:p w14:paraId="6486F36E" w14:textId="77C6C5D2" w:rsidR="00FD1018" w:rsidRPr="00986929" w:rsidRDefault="00FD1018" w:rsidP="00FD1018">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Celotna SI</w:t>
            </w:r>
          </w:p>
        </w:tc>
        <w:tc>
          <w:tcPr>
            <w:tcW w:w="1767" w:type="dxa"/>
            <w:shd w:val="clear" w:color="auto" w:fill="auto"/>
            <w:noWrap/>
            <w:hideMark/>
          </w:tcPr>
          <w:p w14:paraId="2835AEC9" w14:textId="58C16225" w:rsidR="00FD1018" w:rsidRPr="00986929" w:rsidRDefault="00FD1018" w:rsidP="00FD1018">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59.470.000</w:t>
            </w:r>
          </w:p>
        </w:tc>
        <w:tc>
          <w:tcPr>
            <w:tcW w:w="3694" w:type="dxa"/>
            <w:shd w:val="clear" w:color="auto" w:fill="auto"/>
            <w:noWrap/>
            <w:hideMark/>
          </w:tcPr>
          <w:p w14:paraId="2E7F171C" w14:textId="1A918316" w:rsidR="00FD1018" w:rsidRPr="00986929" w:rsidRDefault="3563ADB7" w:rsidP="00283FA2">
            <w:pPr>
              <w:spacing w:after="0" w:line="240" w:lineRule="auto"/>
              <w:jc w:val="right"/>
              <w:rPr>
                <w:rFonts w:eastAsia="Times New Roman" w:cs="Arial"/>
                <w:kern w:val="0"/>
                <w:lang w:eastAsia="sl-SI"/>
                <w14:ligatures w14:val="none"/>
              </w:rPr>
            </w:pPr>
            <w:r w:rsidRPr="718E95E5" w:rsidDel="0078580E">
              <w:rPr>
                <w:rFonts w:eastAsia="Times New Roman" w:cs="Arial"/>
                <w:kern w:val="0"/>
                <w:lang w:eastAsia="sl-SI"/>
                <w14:ligatures w14:val="none"/>
              </w:rPr>
              <w:t> </w:t>
            </w:r>
            <w:r w:rsidR="61C7A520" w:rsidRPr="7673EBAF">
              <w:rPr>
                <w:rFonts w:eastAsia="Times New Roman" w:cs="Arial"/>
                <w:lang w:eastAsia="sl-SI"/>
              </w:rPr>
              <w:t xml:space="preserve"> -8.000.000</w:t>
            </w:r>
          </w:p>
        </w:tc>
        <w:tc>
          <w:tcPr>
            <w:tcW w:w="2239" w:type="dxa"/>
            <w:shd w:val="clear" w:color="auto" w:fill="auto"/>
            <w:noWrap/>
            <w:hideMark/>
          </w:tcPr>
          <w:p w14:paraId="5CA64897" w14:textId="46037F72" w:rsidR="00FD1018" w:rsidRPr="00986929" w:rsidRDefault="00FD1018" w:rsidP="00FD1018">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5</w:t>
            </w:r>
            <w:r w:rsidR="589D0AEB" w:rsidRPr="718E95E5">
              <w:rPr>
                <w:rFonts w:eastAsia="Times New Roman" w:cs="Arial"/>
                <w:kern w:val="0"/>
                <w:lang w:eastAsia="sl-SI"/>
                <w14:ligatures w14:val="none"/>
              </w:rPr>
              <w:t>1</w:t>
            </w:r>
            <w:r w:rsidRPr="718E95E5">
              <w:rPr>
                <w:rFonts w:eastAsia="Times New Roman" w:cs="Arial"/>
                <w:kern w:val="0"/>
                <w:lang w:eastAsia="sl-SI"/>
                <w14:ligatures w14:val="none"/>
              </w:rPr>
              <w:t>.470.000</w:t>
            </w:r>
          </w:p>
        </w:tc>
        <w:tc>
          <w:tcPr>
            <w:tcW w:w="2680" w:type="dxa"/>
            <w:shd w:val="clear" w:color="auto" w:fill="auto"/>
            <w:noWrap/>
            <w:hideMark/>
          </w:tcPr>
          <w:p w14:paraId="723BA444" w14:textId="21A7A6EF" w:rsidR="00FD1018" w:rsidRPr="00986929" w:rsidRDefault="0BEA8A3F" w:rsidP="00FD1018">
            <w:pPr>
              <w:spacing w:after="0" w:line="240" w:lineRule="auto"/>
              <w:rPr>
                <w:rFonts w:eastAsia="Times New Roman" w:cs="Arial"/>
                <w:color w:val="000000"/>
                <w:kern w:val="0"/>
                <w:lang w:eastAsia="sl-SI"/>
                <w14:ligatures w14:val="none"/>
              </w:rPr>
            </w:pPr>
            <w:r w:rsidRPr="2F95BCF9" w:rsidDel="0078580E">
              <w:rPr>
                <w:rFonts w:eastAsia="Times New Roman" w:cs="Arial"/>
                <w:color w:val="000000" w:themeColor="text1"/>
                <w:lang w:eastAsia="sl-SI"/>
              </w:rPr>
              <w:t xml:space="preserve">Prenos na </w:t>
            </w:r>
            <w:r w:rsidRPr="2F95BCF9">
              <w:rPr>
                <w:rFonts w:eastAsia="Times New Roman" w:cs="Arial"/>
                <w:color w:val="000000" w:themeColor="text1"/>
                <w:lang w:eastAsia="sl-SI"/>
              </w:rPr>
              <w:t>RSO2</w:t>
            </w:r>
            <w:r w:rsidRPr="2F95BCF9" w:rsidDel="0078580E">
              <w:rPr>
                <w:rFonts w:eastAsia="Times New Roman" w:cs="Arial"/>
                <w:color w:val="000000" w:themeColor="text1"/>
                <w:lang w:eastAsia="sl-SI"/>
              </w:rPr>
              <w:t>.2</w:t>
            </w:r>
          </w:p>
        </w:tc>
      </w:tr>
      <w:tr w:rsidR="0022402B" w:rsidRPr="00986929" w14:paraId="3FF27BCB" w14:textId="77777777" w:rsidTr="00680842">
        <w:trPr>
          <w:trHeight w:val="300"/>
        </w:trPr>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96468" w14:textId="77777777" w:rsidR="00A65C45" w:rsidRPr="00986929" w:rsidRDefault="00A65C45" w:rsidP="00A65C45">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3</w:t>
            </w:r>
          </w:p>
        </w:tc>
        <w:tc>
          <w:tcPr>
            <w:tcW w:w="1223" w:type="dxa"/>
            <w:tcBorders>
              <w:top w:val="single" w:sz="4" w:space="0" w:color="auto"/>
              <w:left w:val="single" w:sz="4" w:space="0" w:color="auto"/>
              <w:bottom w:val="single" w:sz="4" w:space="0" w:color="auto"/>
              <w:right w:val="single" w:sz="4" w:space="0" w:color="auto"/>
            </w:tcBorders>
            <w:shd w:val="clear" w:color="auto" w:fill="auto"/>
            <w:noWrap/>
            <w:hideMark/>
          </w:tcPr>
          <w:p w14:paraId="5E6DED47" w14:textId="21BC5E0B" w:rsidR="00A65C45" w:rsidRPr="00986929" w:rsidRDefault="00A65C45" w:rsidP="00A65C4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RSO 2.2</w:t>
            </w:r>
          </w:p>
        </w:tc>
        <w:tc>
          <w:tcPr>
            <w:tcW w:w="996" w:type="dxa"/>
            <w:tcBorders>
              <w:top w:val="single" w:sz="4" w:space="0" w:color="auto"/>
              <w:left w:val="single" w:sz="4" w:space="0" w:color="auto"/>
              <w:bottom w:val="single" w:sz="4" w:space="0" w:color="auto"/>
              <w:right w:val="single" w:sz="4" w:space="0" w:color="auto"/>
            </w:tcBorders>
            <w:shd w:val="clear" w:color="auto" w:fill="auto"/>
            <w:noWrap/>
            <w:hideMark/>
          </w:tcPr>
          <w:p w14:paraId="3A34B49B" w14:textId="44608DE4" w:rsidR="00A65C45" w:rsidRPr="00986929" w:rsidRDefault="00A65C45" w:rsidP="00A65C4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ESRR</w:t>
            </w:r>
          </w:p>
        </w:tc>
        <w:tc>
          <w:tcPr>
            <w:tcW w:w="970" w:type="dxa"/>
            <w:tcBorders>
              <w:top w:val="single" w:sz="4" w:space="0" w:color="auto"/>
              <w:left w:val="single" w:sz="4" w:space="0" w:color="auto"/>
              <w:bottom w:val="single" w:sz="4" w:space="0" w:color="auto"/>
              <w:right w:val="single" w:sz="4" w:space="0" w:color="auto"/>
            </w:tcBorders>
            <w:shd w:val="clear" w:color="auto" w:fill="auto"/>
            <w:noWrap/>
            <w:hideMark/>
          </w:tcPr>
          <w:p w14:paraId="130162CC" w14:textId="2197F0D6" w:rsidR="00A65C45" w:rsidRPr="00986929" w:rsidRDefault="00A65C45" w:rsidP="00A65C4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Vzhod</w:t>
            </w:r>
          </w:p>
        </w:tc>
        <w:tc>
          <w:tcPr>
            <w:tcW w:w="1767" w:type="dxa"/>
            <w:tcBorders>
              <w:top w:val="single" w:sz="4" w:space="0" w:color="auto"/>
              <w:left w:val="single" w:sz="4" w:space="0" w:color="auto"/>
              <w:bottom w:val="single" w:sz="4" w:space="0" w:color="auto"/>
              <w:right w:val="single" w:sz="4" w:space="0" w:color="auto"/>
            </w:tcBorders>
            <w:shd w:val="clear" w:color="auto" w:fill="auto"/>
            <w:noWrap/>
            <w:hideMark/>
          </w:tcPr>
          <w:p w14:paraId="3737E056" w14:textId="4031278E" w:rsidR="00A65C45" w:rsidRPr="00986929" w:rsidRDefault="00A65C45" w:rsidP="00A65C45">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80.052.114</w:t>
            </w:r>
          </w:p>
        </w:tc>
        <w:tc>
          <w:tcPr>
            <w:tcW w:w="3694" w:type="dxa"/>
            <w:tcBorders>
              <w:top w:val="single" w:sz="4" w:space="0" w:color="auto"/>
              <w:left w:val="single" w:sz="4" w:space="0" w:color="auto"/>
              <w:bottom w:val="single" w:sz="4" w:space="0" w:color="auto"/>
              <w:right w:val="single" w:sz="4" w:space="0" w:color="auto"/>
            </w:tcBorders>
            <w:shd w:val="clear" w:color="auto" w:fill="auto"/>
            <w:noWrap/>
            <w:hideMark/>
          </w:tcPr>
          <w:p w14:paraId="75A60DDE" w14:textId="1D61B9FF" w:rsidR="00A65C45" w:rsidRPr="00986929" w:rsidRDefault="338205CB" w:rsidP="00283FA2">
            <w:pPr>
              <w:spacing w:after="0" w:line="240" w:lineRule="auto"/>
              <w:jc w:val="right"/>
              <w:rPr>
                <w:rFonts w:eastAsia="Times New Roman" w:cs="Arial"/>
                <w:kern w:val="0"/>
                <w:lang w:eastAsia="sl-SI"/>
                <w14:ligatures w14:val="none"/>
              </w:rPr>
            </w:pPr>
            <w:r w:rsidRPr="4C151E60">
              <w:rPr>
                <w:rFonts w:eastAsia="Times New Roman" w:cs="Arial"/>
                <w:lang w:eastAsia="sl-SI"/>
              </w:rPr>
              <w:t> </w:t>
            </w:r>
            <w:r w:rsidR="1842CB10" w:rsidRPr="4C151E60">
              <w:rPr>
                <w:rFonts w:eastAsia="Times New Roman" w:cs="Arial"/>
                <w:lang w:eastAsia="sl-SI"/>
              </w:rPr>
              <w:t>-5.580.000</w:t>
            </w:r>
          </w:p>
        </w:tc>
        <w:tc>
          <w:tcPr>
            <w:tcW w:w="2239" w:type="dxa"/>
            <w:tcBorders>
              <w:top w:val="single" w:sz="4" w:space="0" w:color="auto"/>
              <w:left w:val="single" w:sz="4" w:space="0" w:color="auto"/>
              <w:bottom w:val="single" w:sz="4" w:space="0" w:color="auto"/>
              <w:right w:val="single" w:sz="4" w:space="0" w:color="auto"/>
            </w:tcBorders>
            <w:shd w:val="clear" w:color="auto" w:fill="auto"/>
            <w:noWrap/>
            <w:hideMark/>
          </w:tcPr>
          <w:p w14:paraId="7E6EFA8D" w14:textId="0F3D1C86" w:rsidR="00A65C45" w:rsidRPr="00986929" w:rsidRDefault="0827FADF" w:rsidP="00A65C45">
            <w:pPr>
              <w:spacing w:after="0" w:line="240" w:lineRule="auto"/>
              <w:jc w:val="right"/>
              <w:rPr>
                <w:rFonts w:eastAsia="Arial" w:cs="Arial"/>
                <w:szCs w:val="20"/>
              </w:rPr>
            </w:pPr>
            <w:r w:rsidRPr="4C151E60">
              <w:rPr>
                <w:rFonts w:eastAsia="Times New Roman" w:cs="Arial"/>
                <w:lang w:eastAsia="sl-SI"/>
              </w:rPr>
              <w:t>74.472.114</w:t>
            </w:r>
          </w:p>
        </w:tc>
        <w:tc>
          <w:tcPr>
            <w:tcW w:w="2680" w:type="dxa"/>
            <w:tcBorders>
              <w:top w:val="single" w:sz="4" w:space="0" w:color="auto"/>
              <w:left w:val="single" w:sz="4" w:space="0" w:color="auto"/>
              <w:bottom w:val="single" w:sz="4" w:space="0" w:color="auto"/>
              <w:right w:val="single" w:sz="4" w:space="0" w:color="auto"/>
            </w:tcBorders>
            <w:shd w:val="clear" w:color="auto" w:fill="auto"/>
            <w:noWrap/>
            <w:hideMark/>
          </w:tcPr>
          <w:p w14:paraId="028EEBA3" w14:textId="5C9BB74E" w:rsidR="00A65C45" w:rsidRPr="00986929" w:rsidRDefault="1D387FB4" w:rsidP="00A65C45">
            <w:pPr>
              <w:spacing w:after="0" w:line="240" w:lineRule="auto"/>
              <w:rPr>
                <w:rFonts w:eastAsia="Times New Roman" w:cs="Arial"/>
                <w:color w:val="000000"/>
                <w:kern w:val="0"/>
                <w:lang w:eastAsia="sl-SI"/>
                <w14:ligatures w14:val="none"/>
              </w:rPr>
            </w:pPr>
            <w:r w:rsidRPr="012AF404">
              <w:rPr>
                <w:rFonts w:eastAsia="Times New Roman" w:cs="Arial"/>
                <w:color w:val="000000" w:themeColor="text1"/>
                <w:lang w:eastAsia="sl-SI"/>
              </w:rPr>
              <w:t>Prenos na nov RSO1.6</w:t>
            </w:r>
          </w:p>
        </w:tc>
      </w:tr>
      <w:tr w:rsidR="0022402B" w:rsidRPr="00986929" w14:paraId="561B4B83" w14:textId="77777777" w:rsidTr="00680842">
        <w:trPr>
          <w:trHeight w:val="300"/>
        </w:trPr>
        <w:tc>
          <w:tcPr>
            <w:tcW w:w="423" w:type="dxa"/>
            <w:shd w:val="clear" w:color="auto" w:fill="auto"/>
            <w:noWrap/>
            <w:vAlign w:val="bottom"/>
            <w:hideMark/>
          </w:tcPr>
          <w:p w14:paraId="548401B3" w14:textId="77777777" w:rsidR="00A65C45" w:rsidRPr="00986929" w:rsidRDefault="00A65C45" w:rsidP="00A65C45">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3</w:t>
            </w:r>
          </w:p>
        </w:tc>
        <w:tc>
          <w:tcPr>
            <w:tcW w:w="1223" w:type="dxa"/>
            <w:shd w:val="clear" w:color="auto" w:fill="auto"/>
            <w:noWrap/>
            <w:hideMark/>
          </w:tcPr>
          <w:p w14:paraId="67421088" w14:textId="7EEFAC71" w:rsidR="00A65C45" w:rsidRPr="00986929" w:rsidRDefault="00A65C45" w:rsidP="00A65C4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RSO 2.2</w:t>
            </w:r>
          </w:p>
        </w:tc>
        <w:tc>
          <w:tcPr>
            <w:tcW w:w="996" w:type="dxa"/>
            <w:shd w:val="clear" w:color="auto" w:fill="auto"/>
            <w:noWrap/>
            <w:hideMark/>
          </w:tcPr>
          <w:p w14:paraId="6C812FCF" w14:textId="57D6A022" w:rsidR="00A65C45" w:rsidRPr="00986929" w:rsidRDefault="00A65C45" w:rsidP="00A65C4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ESRR</w:t>
            </w:r>
          </w:p>
        </w:tc>
        <w:tc>
          <w:tcPr>
            <w:tcW w:w="970" w:type="dxa"/>
            <w:shd w:val="clear" w:color="auto" w:fill="auto"/>
            <w:noWrap/>
            <w:hideMark/>
          </w:tcPr>
          <w:p w14:paraId="33140273" w14:textId="6830FC10" w:rsidR="00A65C45" w:rsidRPr="00986929" w:rsidRDefault="00A65C45" w:rsidP="00A65C4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Zahod</w:t>
            </w:r>
          </w:p>
        </w:tc>
        <w:tc>
          <w:tcPr>
            <w:tcW w:w="1767" w:type="dxa"/>
            <w:shd w:val="clear" w:color="auto" w:fill="auto"/>
            <w:noWrap/>
            <w:hideMark/>
          </w:tcPr>
          <w:p w14:paraId="21AEBF22" w14:textId="32AD9342" w:rsidR="00A65C45" w:rsidRPr="00986929" w:rsidRDefault="00A65C45" w:rsidP="00A65C45">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21.171.613</w:t>
            </w:r>
          </w:p>
        </w:tc>
        <w:tc>
          <w:tcPr>
            <w:tcW w:w="3694" w:type="dxa"/>
            <w:shd w:val="clear" w:color="auto" w:fill="auto"/>
            <w:noWrap/>
            <w:hideMark/>
          </w:tcPr>
          <w:p w14:paraId="47E74E86" w14:textId="79AE39AE" w:rsidR="00A65C45" w:rsidRPr="00986929" w:rsidRDefault="3E71DC90" w:rsidP="00A65C45">
            <w:pPr>
              <w:spacing w:after="0" w:line="240" w:lineRule="auto"/>
              <w:jc w:val="right"/>
              <w:rPr>
                <w:rFonts w:eastAsia="Times New Roman" w:cs="Arial"/>
                <w:kern w:val="0"/>
                <w:lang w:eastAsia="sl-SI"/>
                <w14:ligatures w14:val="none"/>
              </w:rPr>
            </w:pPr>
            <w:r w:rsidRPr="012AF404">
              <w:rPr>
                <w:rFonts w:eastAsia="Times New Roman" w:cs="Arial"/>
                <w:lang w:eastAsia="sl-SI"/>
              </w:rPr>
              <w:t>-</w:t>
            </w:r>
            <w:r w:rsidR="4AACC40D" w:rsidRPr="2DBE8C84">
              <w:rPr>
                <w:rFonts w:eastAsia="Times New Roman" w:cs="Arial"/>
                <w:lang w:eastAsia="sl-SI"/>
              </w:rPr>
              <w:t>12.347.000</w:t>
            </w:r>
          </w:p>
        </w:tc>
        <w:tc>
          <w:tcPr>
            <w:tcW w:w="2239" w:type="dxa"/>
            <w:shd w:val="clear" w:color="auto" w:fill="auto"/>
            <w:noWrap/>
            <w:hideMark/>
          </w:tcPr>
          <w:p w14:paraId="0FBC35FC" w14:textId="340B4AA6" w:rsidR="00A65C45" w:rsidRPr="00986929" w:rsidRDefault="4BA3E3AC" w:rsidP="00A65C45">
            <w:pPr>
              <w:spacing w:after="0" w:line="240" w:lineRule="auto"/>
              <w:jc w:val="right"/>
              <w:rPr>
                <w:rFonts w:eastAsia="Times New Roman" w:cs="Arial"/>
                <w:kern w:val="0"/>
                <w:lang w:eastAsia="sl-SI"/>
                <w14:ligatures w14:val="none"/>
              </w:rPr>
            </w:pPr>
            <w:r w:rsidRPr="2DBE8C84">
              <w:rPr>
                <w:rFonts w:eastAsia="Times New Roman" w:cs="Arial"/>
                <w:lang w:eastAsia="sl-SI"/>
              </w:rPr>
              <w:t>8.824.613</w:t>
            </w:r>
          </w:p>
        </w:tc>
        <w:tc>
          <w:tcPr>
            <w:tcW w:w="2680" w:type="dxa"/>
            <w:shd w:val="clear" w:color="auto" w:fill="auto"/>
            <w:noWrap/>
            <w:hideMark/>
          </w:tcPr>
          <w:p w14:paraId="426FCD14" w14:textId="40C5C55C" w:rsidR="00A65C45" w:rsidRPr="00986929" w:rsidRDefault="2BDD4D5C" w:rsidP="00A65C45">
            <w:pPr>
              <w:spacing w:after="0" w:line="240" w:lineRule="auto"/>
              <w:rPr>
                <w:rFonts w:eastAsia="Times New Roman" w:cs="Arial"/>
                <w:color w:val="000000"/>
                <w:kern w:val="0"/>
                <w:lang w:eastAsia="sl-SI"/>
                <w14:ligatures w14:val="none"/>
              </w:rPr>
            </w:pPr>
            <w:r w:rsidRPr="2B021607" w:rsidDel="004E406D">
              <w:rPr>
                <w:rFonts w:eastAsia="Times New Roman" w:cs="Arial"/>
                <w:color w:val="000000" w:themeColor="text1"/>
                <w:lang w:eastAsia="sl-SI"/>
              </w:rPr>
              <w:t xml:space="preserve">Delni </w:t>
            </w:r>
            <w:r w:rsidR="1F6A99E6" w:rsidRPr="2B021607" w:rsidDel="004E406D">
              <w:rPr>
                <w:rFonts w:eastAsia="Times New Roman" w:cs="Arial"/>
                <w:color w:val="000000" w:themeColor="text1"/>
                <w:lang w:eastAsia="sl-SI"/>
              </w:rPr>
              <w:t>p</w:t>
            </w:r>
            <w:r w:rsidR="2C282B7A" w:rsidRPr="2DBE8C84" w:rsidDel="004E406D">
              <w:rPr>
                <w:rFonts w:eastAsia="Times New Roman" w:cs="Arial"/>
                <w:color w:val="000000"/>
                <w:kern w:val="0"/>
                <w:lang w:eastAsia="sl-SI"/>
                <w14:ligatures w14:val="none"/>
              </w:rPr>
              <w:t>renos na nov RSO1.6</w:t>
            </w:r>
            <w:r w:rsidR="61F23EED" w:rsidRPr="2B021607" w:rsidDel="004E406D">
              <w:rPr>
                <w:rFonts w:eastAsia="Times New Roman" w:cs="Arial"/>
                <w:color w:val="000000" w:themeColor="text1"/>
                <w:lang w:eastAsia="sl-SI"/>
              </w:rPr>
              <w:t>, delni prenos n</w:t>
            </w:r>
            <w:r w:rsidR="00283FA2">
              <w:rPr>
                <w:rFonts w:eastAsia="Times New Roman" w:cs="Arial"/>
                <w:color w:val="000000" w:themeColor="text1"/>
                <w:lang w:eastAsia="sl-SI"/>
              </w:rPr>
              <w:t xml:space="preserve">a </w:t>
            </w:r>
            <w:r w:rsidR="61F23EED" w:rsidRPr="2B021607" w:rsidDel="004E406D">
              <w:rPr>
                <w:rFonts w:eastAsia="Times New Roman" w:cs="Arial"/>
                <w:color w:val="000000" w:themeColor="text1"/>
                <w:lang w:eastAsia="sl-SI"/>
              </w:rPr>
              <w:t>RSO 2.3</w:t>
            </w:r>
          </w:p>
        </w:tc>
      </w:tr>
      <w:tr w:rsidR="0022402B" w:rsidRPr="00986929" w14:paraId="008B2D2A" w14:textId="77777777" w:rsidTr="00680842">
        <w:trPr>
          <w:trHeight w:val="300"/>
        </w:trPr>
        <w:tc>
          <w:tcPr>
            <w:tcW w:w="423" w:type="dxa"/>
            <w:shd w:val="clear" w:color="auto" w:fill="auto"/>
            <w:noWrap/>
            <w:vAlign w:val="bottom"/>
            <w:hideMark/>
          </w:tcPr>
          <w:p w14:paraId="702CB2DC" w14:textId="77777777" w:rsidR="00A65C45" w:rsidRPr="00986929" w:rsidRDefault="00A65C45" w:rsidP="00A65C45">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3</w:t>
            </w:r>
          </w:p>
        </w:tc>
        <w:tc>
          <w:tcPr>
            <w:tcW w:w="1223" w:type="dxa"/>
            <w:shd w:val="clear" w:color="auto" w:fill="auto"/>
            <w:noWrap/>
            <w:hideMark/>
          </w:tcPr>
          <w:p w14:paraId="7DD68CB1" w14:textId="17E17499" w:rsidR="00A65C45" w:rsidRPr="00986929" w:rsidRDefault="00A65C45" w:rsidP="00A65C4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RSO 2.2</w:t>
            </w:r>
          </w:p>
        </w:tc>
        <w:tc>
          <w:tcPr>
            <w:tcW w:w="996" w:type="dxa"/>
            <w:shd w:val="clear" w:color="auto" w:fill="auto"/>
            <w:noWrap/>
            <w:hideMark/>
          </w:tcPr>
          <w:p w14:paraId="2AE05C5C" w14:textId="03461751" w:rsidR="00A65C45" w:rsidRPr="00986929" w:rsidRDefault="00A65C45" w:rsidP="00A65C4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KS</w:t>
            </w:r>
          </w:p>
        </w:tc>
        <w:tc>
          <w:tcPr>
            <w:tcW w:w="970" w:type="dxa"/>
            <w:shd w:val="clear" w:color="auto" w:fill="auto"/>
            <w:noWrap/>
            <w:hideMark/>
          </w:tcPr>
          <w:p w14:paraId="7C440B36" w14:textId="1F778003" w:rsidR="00A65C45" w:rsidRPr="00986929" w:rsidRDefault="00A65C45" w:rsidP="00A65C4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Celotna SI</w:t>
            </w:r>
          </w:p>
        </w:tc>
        <w:tc>
          <w:tcPr>
            <w:tcW w:w="1767" w:type="dxa"/>
            <w:shd w:val="clear" w:color="auto" w:fill="auto"/>
            <w:noWrap/>
            <w:hideMark/>
          </w:tcPr>
          <w:p w14:paraId="596F15FE" w14:textId="55C06238" w:rsidR="00A65C45" w:rsidRPr="00986929" w:rsidRDefault="00A65C45" w:rsidP="00A65C45">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13.433.041</w:t>
            </w:r>
          </w:p>
        </w:tc>
        <w:tc>
          <w:tcPr>
            <w:tcW w:w="3694" w:type="dxa"/>
            <w:shd w:val="clear" w:color="auto" w:fill="auto"/>
            <w:noWrap/>
            <w:hideMark/>
          </w:tcPr>
          <w:p w14:paraId="15ABA963" w14:textId="310CE76E" w:rsidR="00A65C45" w:rsidRPr="00986929" w:rsidRDefault="338205CB" w:rsidP="00680842">
            <w:pPr>
              <w:spacing w:after="0" w:line="240" w:lineRule="auto"/>
              <w:jc w:val="right"/>
              <w:rPr>
                <w:rFonts w:eastAsia="Times New Roman" w:cs="Arial"/>
                <w:kern w:val="0"/>
                <w:lang w:eastAsia="sl-SI"/>
                <w14:ligatures w14:val="none"/>
              </w:rPr>
            </w:pPr>
            <w:r w:rsidRPr="718E95E5" w:rsidDel="004E406D">
              <w:rPr>
                <w:rFonts w:eastAsia="Times New Roman" w:cs="Arial"/>
                <w:kern w:val="0"/>
                <w:lang w:eastAsia="sl-SI"/>
                <w14:ligatures w14:val="none"/>
              </w:rPr>
              <w:t> </w:t>
            </w:r>
            <w:r w:rsidR="393CE968" w:rsidRPr="5F3B5220">
              <w:rPr>
                <w:rFonts w:eastAsia="Times New Roman" w:cs="Arial"/>
                <w:lang w:eastAsia="sl-SI"/>
              </w:rPr>
              <w:t>17.250.000</w:t>
            </w:r>
          </w:p>
        </w:tc>
        <w:tc>
          <w:tcPr>
            <w:tcW w:w="2239" w:type="dxa"/>
            <w:shd w:val="clear" w:color="auto" w:fill="auto"/>
            <w:noWrap/>
            <w:hideMark/>
          </w:tcPr>
          <w:p w14:paraId="54BB377E" w14:textId="6764F1DC" w:rsidR="5F3B5220" w:rsidRPr="5F3B5220" w:rsidRDefault="5F3B5220">
            <w:pPr>
              <w:spacing w:after="0"/>
              <w:jc w:val="right"/>
              <w:rPr>
                <w:rFonts w:eastAsia="Arial" w:cs="Arial"/>
                <w:color w:val="000000" w:themeColor="text1"/>
                <w:szCs w:val="20"/>
              </w:rPr>
            </w:pPr>
            <w:r w:rsidRPr="5F3B5220">
              <w:rPr>
                <w:rFonts w:eastAsia="Arial" w:cs="Arial"/>
                <w:color w:val="000000" w:themeColor="text1"/>
                <w:szCs w:val="20"/>
              </w:rPr>
              <w:t>30.683.041</w:t>
            </w:r>
          </w:p>
        </w:tc>
        <w:tc>
          <w:tcPr>
            <w:tcW w:w="2680" w:type="dxa"/>
            <w:shd w:val="clear" w:color="auto" w:fill="auto"/>
            <w:noWrap/>
            <w:hideMark/>
          </w:tcPr>
          <w:p w14:paraId="61FB4B78" w14:textId="3341DF71" w:rsidR="00A65C45" w:rsidRPr="00986929" w:rsidRDefault="00A65C45" w:rsidP="00A65C45">
            <w:pPr>
              <w:spacing w:after="0" w:line="240" w:lineRule="auto"/>
              <w:rPr>
                <w:rFonts w:eastAsia="Times New Roman" w:cs="Arial"/>
                <w:color w:val="000000"/>
                <w:kern w:val="0"/>
                <w:lang w:eastAsia="sl-SI"/>
                <w14:ligatures w14:val="none"/>
              </w:rPr>
            </w:pPr>
            <w:r w:rsidRPr="718E95E5" w:rsidDel="004E406D">
              <w:rPr>
                <w:rFonts w:eastAsia="Times New Roman" w:cs="Arial"/>
                <w:color w:val="000000"/>
                <w:kern w:val="0"/>
                <w:lang w:eastAsia="sl-SI"/>
                <w14:ligatures w14:val="none"/>
              </w:rPr>
              <w:t> </w:t>
            </w:r>
          </w:p>
        </w:tc>
      </w:tr>
      <w:tr w:rsidR="0022402B" w:rsidRPr="00986929" w14:paraId="22F669FC" w14:textId="77777777" w:rsidTr="00680842">
        <w:trPr>
          <w:trHeight w:val="300"/>
        </w:trPr>
        <w:tc>
          <w:tcPr>
            <w:tcW w:w="423" w:type="dxa"/>
            <w:shd w:val="clear" w:color="auto" w:fill="auto"/>
            <w:noWrap/>
            <w:vAlign w:val="bottom"/>
            <w:hideMark/>
          </w:tcPr>
          <w:p w14:paraId="76504D51" w14:textId="77777777" w:rsidR="00DE2F75" w:rsidRPr="00986929" w:rsidRDefault="00DE2F75" w:rsidP="00DE2F75">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3</w:t>
            </w:r>
          </w:p>
        </w:tc>
        <w:tc>
          <w:tcPr>
            <w:tcW w:w="1223" w:type="dxa"/>
            <w:shd w:val="clear" w:color="auto" w:fill="auto"/>
            <w:noWrap/>
            <w:vAlign w:val="bottom"/>
            <w:hideMark/>
          </w:tcPr>
          <w:p w14:paraId="01B30AF3" w14:textId="377BC0D7" w:rsidR="00DE2F75" w:rsidRPr="00986929" w:rsidRDefault="00DE2F75" w:rsidP="00DE2F7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RSO 2.3</w:t>
            </w:r>
          </w:p>
        </w:tc>
        <w:tc>
          <w:tcPr>
            <w:tcW w:w="996" w:type="dxa"/>
            <w:shd w:val="clear" w:color="auto" w:fill="auto"/>
            <w:noWrap/>
            <w:vAlign w:val="bottom"/>
            <w:hideMark/>
          </w:tcPr>
          <w:p w14:paraId="4CB7C84B" w14:textId="56BE1112" w:rsidR="00DE2F75" w:rsidRPr="00986929" w:rsidRDefault="00DE2F75" w:rsidP="00DE2F7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ESRR</w:t>
            </w:r>
          </w:p>
        </w:tc>
        <w:tc>
          <w:tcPr>
            <w:tcW w:w="970" w:type="dxa"/>
            <w:shd w:val="clear" w:color="auto" w:fill="auto"/>
            <w:noWrap/>
            <w:vAlign w:val="bottom"/>
            <w:hideMark/>
          </w:tcPr>
          <w:p w14:paraId="418BD20B" w14:textId="5B6E4E9E" w:rsidR="00DE2F75" w:rsidRPr="00986929" w:rsidRDefault="00DE2F75" w:rsidP="00DE2F7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Vzhod</w:t>
            </w:r>
          </w:p>
        </w:tc>
        <w:tc>
          <w:tcPr>
            <w:tcW w:w="1767" w:type="dxa"/>
            <w:shd w:val="clear" w:color="auto" w:fill="auto"/>
            <w:noWrap/>
            <w:vAlign w:val="bottom"/>
            <w:hideMark/>
          </w:tcPr>
          <w:p w14:paraId="2C05D6F3" w14:textId="4E17C486" w:rsidR="00DE2F75" w:rsidRPr="00986929" w:rsidRDefault="00DE2F75" w:rsidP="00DE2F75">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33.002.978</w:t>
            </w:r>
          </w:p>
        </w:tc>
        <w:tc>
          <w:tcPr>
            <w:tcW w:w="3694" w:type="dxa"/>
            <w:shd w:val="clear" w:color="auto" w:fill="auto"/>
            <w:noWrap/>
            <w:vAlign w:val="bottom"/>
            <w:hideMark/>
          </w:tcPr>
          <w:p w14:paraId="7713F1C7" w14:textId="2BE7C964" w:rsidR="00DE2F75" w:rsidRPr="00986929" w:rsidRDefault="76EFE565" w:rsidP="00DE2F75">
            <w:pPr>
              <w:spacing w:after="0" w:line="240" w:lineRule="auto"/>
              <w:jc w:val="right"/>
              <w:rPr>
                <w:rFonts w:eastAsia="Arial" w:cs="Arial"/>
              </w:rPr>
            </w:pPr>
            <w:r w:rsidRPr="012AF404">
              <w:rPr>
                <w:rFonts w:eastAsia="Times New Roman" w:cs="Arial"/>
                <w:lang w:eastAsia="sl-SI"/>
              </w:rPr>
              <w:t>-</w:t>
            </w:r>
            <w:r w:rsidR="75CD6471" w:rsidRPr="2DBE8C84">
              <w:rPr>
                <w:rFonts w:eastAsia="Times New Roman" w:cs="Arial"/>
                <w:lang w:eastAsia="sl-SI"/>
              </w:rPr>
              <w:t>8.920</w:t>
            </w:r>
            <w:r w:rsidR="75CD6471" w:rsidRPr="6496A407">
              <w:rPr>
                <w:rFonts w:eastAsia="Times New Roman" w:cs="Arial"/>
                <w:lang w:eastAsia="sl-SI"/>
              </w:rPr>
              <w:t>.000</w:t>
            </w:r>
          </w:p>
        </w:tc>
        <w:tc>
          <w:tcPr>
            <w:tcW w:w="2239" w:type="dxa"/>
            <w:shd w:val="clear" w:color="auto" w:fill="auto"/>
            <w:noWrap/>
            <w:vAlign w:val="bottom"/>
            <w:hideMark/>
          </w:tcPr>
          <w:p w14:paraId="532F66C3" w14:textId="25E1CE25" w:rsidR="00DE2F75" w:rsidRPr="00986929" w:rsidRDefault="6F85B5C1" w:rsidP="00DE2F75">
            <w:pPr>
              <w:spacing w:after="0" w:line="240" w:lineRule="auto"/>
              <w:jc w:val="right"/>
              <w:rPr>
                <w:rFonts w:eastAsia="Times New Roman" w:cs="Arial"/>
                <w:kern w:val="0"/>
                <w:lang w:eastAsia="sl-SI"/>
                <w14:ligatures w14:val="none"/>
              </w:rPr>
            </w:pPr>
            <w:r w:rsidRPr="6496A407">
              <w:rPr>
                <w:rFonts w:eastAsia="Times New Roman" w:cs="Arial"/>
                <w:lang w:eastAsia="sl-SI"/>
              </w:rPr>
              <w:t>24.082.978</w:t>
            </w:r>
          </w:p>
        </w:tc>
        <w:tc>
          <w:tcPr>
            <w:tcW w:w="2680" w:type="dxa"/>
            <w:shd w:val="clear" w:color="auto" w:fill="auto"/>
            <w:noWrap/>
            <w:vAlign w:val="bottom"/>
            <w:hideMark/>
          </w:tcPr>
          <w:p w14:paraId="5C863043" w14:textId="023BA815" w:rsidR="00DE2F75" w:rsidRPr="00986929" w:rsidRDefault="00DE2F75" w:rsidP="00DE2F75">
            <w:pPr>
              <w:spacing w:after="0" w:line="240" w:lineRule="auto"/>
              <w:rPr>
                <w:rFonts w:eastAsia="Times New Roman" w:cs="Arial"/>
                <w:color w:val="000000"/>
                <w:kern w:val="0"/>
                <w:lang w:eastAsia="sl-SI"/>
                <w14:ligatures w14:val="none"/>
              </w:rPr>
            </w:pPr>
            <w:r w:rsidRPr="718E95E5" w:rsidDel="0095712F">
              <w:rPr>
                <w:rFonts w:eastAsia="Times New Roman" w:cs="Arial"/>
                <w:color w:val="000000"/>
                <w:kern w:val="0"/>
                <w:lang w:eastAsia="sl-SI"/>
                <w14:ligatures w14:val="none"/>
              </w:rPr>
              <w:t>Prenos na nov RSO1.6</w:t>
            </w:r>
          </w:p>
        </w:tc>
      </w:tr>
      <w:tr w:rsidR="0022402B" w:rsidRPr="00986929" w14:paraId="43B42D7B" w14:textId="77777777" w:rsidTr="00680842">
        <w:trPr>
          <w:trHeight w:val="300"/>
        </w:trPr>
        <w:tc>
          <w:tcPr>
            <w:tcW w:w="423" w:type="dxa"/>
            <w:shd w:val="clear" w:color="auto" w:fill="auto"/>
            <w:noWrap/>
            <w:vAlign w:val="bottom"/>
            <w:hideMark/>
          </w:tcPr>
          <w:p w14:paraId="624CB4BF" w14:textId="77777777" w:rsidR="00DE2F75" w:rsidRPr="00986929" w:rsidRDefault="00DE2F75" w:rsidP="00DE2F75">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lastRenderedPageBreak/>
              <w:t>3</w:t>
            </w:r>
          </w:p>
        </w:tc>
        <w:tc>
          <w:tcPr>
            <w:tcW w:w="1223" w:type="dxa"/>
            <w:shd w:val="clear" w:color="auto" w:fill="auto"/>
            <w:noWrap/>
            <w:vAlign w:val="bottom"/>
            <w:hideMark/>
          </w:tcPr>
          <w:p w14:paraId="33BEF92D" w14:textId="4F82D4BD" w:rsidR="00DE2F75" w:rsidRPr="00986929" w:rsidRDefault="00DE2F75" w:rsidP="00DE2F7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RSO 2.3</w:t>
            </w:r>
          </w:p>
        </w:tc>
        <w:tc>
          <w:tcPr>
            <w:tcW w:w="996" w:type="dxa"/>
            <w:shd w:val="clear" w:color="auto" w:fill="auto"/>
            <w:noWrap/>
            <w:vAlign w:val="bottom"/>
            <w:hideMark/>
          </w:tcPr>
          <w:p w14:paraId="4069FB81" w14:textId="4449E226" w:rsidR="00DE2F75" w:rsidRPr="00986929" w:rsidRDefault="00DE2F75" w:rsidP="00DE2F7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ESRR</w:t>
            </w:r>
          </w:p>
        </w:tc>
        <w:tc>
          <w:tcPr>
            <w:tcW w:w="970" w:type="dxa"/>
            <w:shd w:val="clear" w:color="auto" w:fill="auto"/>
            <w:noWrap/>
            <w:vAlign w:val="bottom"/>
            <w:hideMark/>
          </w:tcPr>
          <w:p w14:paraId="3CE25AA1" w14:textId="78EAA1EA" w:rsidR="00DE2F75" w:rsidRPr="00986929" w:rsidRDefault="00DE2F75" w:rsidP="00DE2F7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Zahod</w:t>
            </w:r>
          </w:p>
        </w:tc>
        <w:tc>
          <w:tcPr>
            <w:tcW w:w="1767" w:type="dxa"/>
            <w:shd w:val="clear" w:color="auto" w:fill="auto"/>
            <w:noWrap/>
            <w:vAlign w:val="bottom"/>
            <w:hideMark/>
          </w:tcPr>
          <w:p w14:paraId="52BBB95D" w14:textId="62A88782" w:rsidR="00DE2F75" w:rsidRPr="00986929" w:rsidRDefault="00DE2F75" w:rsidP="00DE2F75">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5.997.912</w:t>
            </w:r>
          </w:p>
        </w:tc>
        <w:tc>
          <w:tcPr>
            <w:tcW w:w="3694" w:type="dxa"/>
            <w:shd w:val="clear" w:color="auto" w:fill="auto"/>
            <w:noWrap/>
            <w:vAlign w:val="bottom"/>
            <w:hideMark/>
          </w:tcPr>
          <w:p w14:paraId="06C30DB0" w14:textId="4E36CC95" w:rsidR="00DE2F75" w:rsidRPr="00986929" w:rsidRDefault="38978AF4" w:rsidP="00DE2F75">
            <w:pPr>
              <w:spacing w:after="0" w:line="240" w:lineRule="auto"/>
              <w:jc w:val="right"/>
              <w:rPr>
                <w:rFonts w:eastAsia="Times New Roman" w:cs="Arial"/>
                <w:kern w:val="0"/>
                <w:lang w:eastAsia="sl-SI"/>
                <w14:ligatures w14:val="none"/>
              </w:rPr>
            </w:pPr>
            <w:r w:rsidRPr="6496A407">
              <w:rPr>
                <w:rFonts w:eastAsia="Times New Roman" w:cs="Arial"/>
                <w:lang w:eastAsia="sl-SI"/>
              </w:rPr>
              <w:t>6.847.000</w:t>
            </w:r>
          </w:p>
        </w:tc>
        <w:tc>
          <w:tcPr>
            <w:tcW w:w="2239" w:type="dxa"/>
            <w:shd w:val="clear" w:color="auto" w:fill="auto"/>
            <w:noWrap/>
            <w:vAlign w:val="bottom"/>
            <w:hideMark/>
          </w:tcPr>
          <w:p w14:paraId="03F0D7CE" w14:textId="27534AF2" w:rsidR="00DE2F75" w:rsidRPr="00986929" w:rsidRDefault="1F4B59DF" w:rsidP="00DE2F75">
            <w:pPr>
              <w:spacing w:after="0" w:line="240" w:lineRule="auto"/>
              <w:jc w:val="right"/>
              <w:rPr>
                <w:rFonts w:eastAsia="Times New Roman" w:cs="Arial"/>
                <w:kern w:val="0"/>
                <w:lang w:eastAsia="sl-SI"/>
                <w14:ligatures w14:val="none"/>
              </w:rPr>
            </w:pPr>
            <w:r w:rsidRPr="6496A407">
              <w:rPr>
                <w:rFonts w:eastAsia="Times New Roman" w:cs="Arial"/>
                <w:lang w:eastAsia="sl-SI"/>
              </w:rPr>
              <w:t>12.844.912</w:t>
            </w:r>
          </w:p>
        </w:tc>
        <w:tc>
          <w:tcPr>
            <w:tcW w:w="2680" w:type="dxa"/>
            <w:shd w:val="clear" w:color="auto" w:fill="auto"/>
            <w:noWrap/>
            <w:vAlign w:val="bottom"/>
            <w:hideMark/>
          </w:tcPr>
          <w:p w14:paraId="4993BC86" w14:textId="416EDF16" w:rsidR="00DE2F75" w:rsidRPr="00986929" w:rsidRDefault="00DE2F75" w:rsidP="00DE2F75">
            <w:pPr>
              <w:spacing w:after="0" w:line="240" w:lineRule="auto"/>
              <w:rPr>
                <w:rFonts w:eastAsia="Times New Roman" w:cs="Arial"/>
                <w:color w:val="000000"/>
                <w:kern w:val="0"/>
                <w:lang w:eastAsia="sl-SI"/>
                <w14:ligatures w14:val="none"/>
              </w:rPr>
            </w:pPr>
          </w:p>
        </w:tc>
      </w:tr>
      <w:tr w:rsidR="0022402B" w:rsidRPr="00986929" w14:paraId="6350F540" w14:textId="77777777" w:rsidTr="00680842">
        <w:trPr>
          <w:trHeight w:val="300"/>
        </w:trPr>
        <w:tc>
          <w:tcPr>
            <w:tcW w:w="423" w:type="dxa"/>
            <w:shd w:val="clear" w:color="auto" w:fill="auto"/>
            <w:noWrap/>
            <w:vAlign w:val="bottom"/>
            <w:hideMark/>
          </w:tcPr>
          <w:p w14:paraId="7241A87D" w14:textId="77777777" w:rsidR="00DE2F75" w:rsidRPr="00986929" w:rsidRDefault="00DE2F75" w:rsidP="00DE2F75">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3</w:t>
            </w:r>
          </w:p>
        </w:tc>
        <w:tc>
          <w:tcPr>
            <w:tcW w:w="1223" w:type="dxa"/>
            <w:shd w:val="clear" w:color="auto" w:fill="auto"/>
            <w:noWrap/>
            <w:vAlign w:val="bottom"/>
            <w:hideMark/>
          </w:tcPr>
          <w:p w14:paraId="5BE9B753" w14:textId="4A10B02C" w:rsidR="00DE2F75" w:rsidRPr="00986929" w:rsidRDefault="00DE2F75" w:rsidP="00DE2F7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RSO 2.3</w:t>
            </w:r>
          </w:p>
        </w:tc>
        <w:tc>
          <w:tcPr>
            <w:tcW w:w="996" w:type="dxa"/>
            <w:shd w:val="clear" w:color="auto" w:fill="auto"/>
            <w:noWrap/>
            <w:vAlign w:val="bottom"/>
            <w:hideMark/>
          </w:tcPr>
          <w:p w14:paraId="302AC4FE" w14:textId="1CCA904D" w:rsidR="00DE2F75" w:rsidRPr="00986929" w:rsidRDefault="00DE2F75" w:rsidP="00DE2F7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KS</w:t>
            </w:r>
          </w:p>
        </w:tc>
        <w:tc>
          <w:tcPr>
            <w:tcW w:w="970" w:type="dxa"/>
            <w:shd w:val="clear" w:color="auto" w:fill="auto"/>
            <w:noWrap/>
            <w:vAlign w:val="bottom"/>
            <w:hideMark/>
          </w:tcPr>
          <w:p w14:paraId="73D415F1" w14:textId="25FBA7EE" w:rsidR="00DE2F75" w:rsidRPr="00986929" w:rsidRDefault="00DE2F75" w:rsidP="00DE2F7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Celotna SI</w:t>
            </w:r>
          </w:p>
        </w:tc>
        <w:tc>
          <w:tcPr>
            <w:tcW w:w="1767" w:type="dxa"/>
            <w:shd w:val="clear" w:color="auto" w:fill="auto"/>
            <w:noWrap/>
            <w:vAlign w:val="bottom"/>
            <w:hideMark/>
          </w:tcPr>
          <w:p w14:paraId="2A5ABE4E" w14:textId="631AC6B3" w:rsidR="00DE2F75" w:rsidRPr="00986929" w:rsidRDefault="00DE2F75" w:rsidP="00DE2F75">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15.000.000</w:t>
            </w:r>
          </w:p>
        </w:tc>
        <w:tc>
          <w:tcPr>
            <w:tcW w:w="3694" w:type="dxa"/>
            <w:shd w:val="clear" w:color="auto" w:fill="auto"/>
            <w:noWrap/>
            <w:vAlign w:val="bottom"/>
            <w:hideMark/>
          </w:tcPr>
          <w:p w14:paraId="103E0E89" w14:textId="7262F240" w:rsidR="5F3B5220" w:rsidRPr="5F3B5220" w:rsidRDefault="5F3B5220">
            <w:pPr>
              <w:spacing w:after="0"/>
              <w:jc w:val="right"/>
              <w:rPr>
                <w:rFonts w:eastAsia="Arial" w:cs="Arial"/>
                <w:color w:val="000000" w:themeColor="text1"/>
                <w:szCs w:val="20"/>
              </w:rPr>
            </w:pPr>
            <w:r w:rsidRPr="5F3B5220">
              <w:rPr>
                <w:rFonts w:eastAsia="Arial" w:cs="Arial"/>
                <w:color w:val="000000" w:themeColor="text1"/>
                <w:szCs w:val="20"/>
              </w:rPr>
              <w:t xml:space="preserve"> -9.250.000</w:t>
            </w:r>
          </w:p>
        </w:tc>
        <w:tc>
          <w:tcPr>
            <w:tcW w:w="2239" w:type="dxa"/>
            <w:shd w:val="clear" w:color="auto" w:fill="auto"/>
            <w:noWrap/>
            <w:vAlign w:val="bottom"/>
            <w:hideMark/>
          </w:tcPr>
          <w:p w14:paraId="3F00251A" w14:textId="297FA245" w:rsidR="2F95BCF9" w:rsidRPr="2F95BCF9" w:rsidRDefault="2F95BCF9">
            <w:pPr>
              <w:spacing w:after="0"/>
              <w:jc w:val="right"/>
              <w:rPr>
                <w:rFonts w:eastAsia="Arial" w:cs="Arial"/>
                <w:color w:val="000000" w:themeColor="text1"/>
                <w:szCs w:val="20"/>
              </w:rPr>
            </w:pPr>
            <w:r w:rsidRPr="2F95BCF9">
              <w:rPr>
                <w:rFonts w:eastAsia="Arial" w:cs="Arial"/>
                <w:color w:val="000000" w:themeColor="text1"/>
                <w:szCs w:val="20"/>
              </w:rPr>
              <w:t>5.750.000</w:t>
            </w:r>
          </w:p>
        </w:tc>
        <w:tc>
          <w:tcPr>
            <w:tcW w:w="2680" w:type="dxa"/>
            <w:shd w:val="clear" w:color="auto" w:fill="auto"/>
            <w:noWrap/>
            <w:vAlign w:val="bottom"/>
            <w:hideMark/>
          </w:tcPr>
          <w:p w14:paraId="2E89460C" w14:textId="7B85CE60" w:rsidR="00DE2F75" w:rsidRPr="00986929" w:rsidRDefault="00DE2F75" w:rsidP="00DE2F75">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 </w:t>
            </w:r>
            <w:r w:rsidR="043979C2" w:rsidRPr="718E95E5">
              <w:rPr>
                <w:rFonts w:eastAsia="Times New Roman" w:cs="Arial"/>
                <w:color w:val="000000"/>
                <w:kern w:val="0"/>
                <w:lang w:eastAsia="sl-SI"/>
                <w14:ligatures w14:val="none"/>
              </w:rPr>
              <w:t>Prenos na</w:t>
            </w:r>
            <w:r w:rsidR="00680842">
              <w:rPr>
                <w:rFonts w:eastAsia="Times New Roman" w:cs="Arial"/>
                <w:color w:val="000000"/>
                <w:kern w:val="0"/>
                <w:lang w:eastAsia="sl-SI"/>
                <w14:ligatures w14:val="none"/>
              </w:rPr>
              <w:t xml:space="preserve"> </w:t>
            </w:r>
            <w:r w:rsidR="043979C2" w:rsidRPr="718E95E5">
              <w:rPr>
                <w:rFonts w:eastAsia="Times New Roman" w:cs="Arial"/>
                <w:color w:val="000000"/>
                <w:kern w:val="0"/>
                <w:lang w:eastAsia="sl-SI"/>
                <w14:ligatures w14:val="none"/>
              </w:rPr>
              <w:t>RSO2.2</w:t>
            </w:r>
          </w:p>
        </w:tc>
      </w:tr>
      <w:tr w:rsidR="0022402B" w:rsidRPr="00986929" w14:paraId="568B993C" w14:textId="77777777" w:rsidTr="00680842">
        <w:trPr>
          <w:trHeight w:val="300"/>
        </w:trPr>
        <w:tc>
          <w:tcPr>
            <w:tcW w:w="423" w:type="dxa"/>
            <w:shd w:val="clear" w:color="auto" w:fill="auto"/>
            <w:noWrap/>
            <w:vAlign w:val="bottom"/>
            <w:hideMark/>
          </w:tcPr>
          <w:p w14:paraId="33DD8F9D" w14:textId="77777777" w:rsidR="0045789C" w:rsidRPr="00680842" w:rsidRDefault="0045789C" w:rsidP="0045789C">
            <w:pPr>
              <w:spacing w:after="0" w:line="240" w:lineRule="auto"/>
              <w:rPr>
                <w:rFonts w:eastAsia="Times New Roman" w:cs="Arial"/>
                <w:color w:val="000000"/>
                <w:kern w:val="0"/>
                <w:szCs w:val="20"/>
                <w:lang w:eastAsia="sl-SI"/>
                <w14:ligatures w14:val="none"/>
              </w:rPr>
            </w:pPr>
            <w:r w:rsidRPr="00680842">
              <w:rPr>
                <w:rFonts w:eastAsia="Times New Roman" w:cs="Arial"/>
                <w:color w:val="000000"/>
                <w:kern w:val="0"/>
                <w:szCs w:val="20"/>
                <w:lang w:eastAsia="sl-SI"/>
                <w14:ligatures w14:val="none"/>
              </w:rPr>
              <w:t>3</w:t>
            </w:r>
          </w:p>
        </w:tc>
        <w:tc>
          <w:tcPr>
            <w:tcW w:w="1223" w:type="dxa"/>
            <w:shd w:val="clear" w:color="auto" w:fill="auto"/>
            <w:noWrap/>
            <w:vAlign w:val="bottom"/>
            <w:hideMark/>
          </w:tcPr>
          <w:p w14:paraId="55DB3B12" w14:textId="1A988DDA" w:rsidR="0045789C" w:rsidRPr="00680842" w:rsidRDefault="17BA9C0C" w:rsidP="0045789C">
            <w:pPr>
              <w:spacing w:after="0" w:line="240" w:lineRule="auto"/>
              <w:rPr>
                <w:rFonts w:eastAsia="Times New Roman" w:cs="Arial"/>
                <w:color w:val="000000"/>
                <w:kern w:val="0"/>
                <w:lang w:eastAsia="sl-SI"/>
                <w14:ligatures w14:val="none"/>
              </w:rPr>
            </w:pPr>
            <w:r w:rsidRPr="00680842">
              <w:rPr>
                <w:rFonts w:eastAsia="Times New Roman" w:cs="Arial"/>
                <w:color w:val="000000"/>
                <w:kern w:val="0"/>
                <w:lang w:eastAsia="sl-SI"/>
                <w14:ligatures w14:val="none"/>
              </w:rPr>
              <w:t>RSO 2.4</w:t>
            </w:r>
          </w:p>
        </w:tc>
        <w:tc>
          <w:tcPr>
            <w:tcW w:w="996" w:type="dxa"/>
            <w:shd w:val="clear" w:color="auto" w:fill="auto"/>
            <w:noWrap/>
            <w:vAlign w:val="bottom"/>
            <w:hideMark/>
          </w:tcPr>
          <w:p w14:paraId="567614DA" w14:textId="40EEDC76" w:rsidR="0045789C" w:rsidRPr="00680842" w:rsidRDefault="0045789C" w:rsidP="0045789C">
            <w:pPr>
              <w:spacing w:after="0" w:line="240" w:lineRule="auto"/>
              <w:rPr>
                <w:rFonts w:eastAsia="Times New Roman" w:cs="Arial"/>
                <w:color w:val="000000"/>
                <w:kern w:val="0"/>
                <w:lang w:eastAsia="sl-SI"/>
                <w14:ligatures w14:val="none"/>
              </w:rPr>
            </w:pPr>
            <w:r w:rsidRPr="00680842">
              <w:rPr>
                <w:rFonts w:eastAsia="Times New Roman" w:cs="Arial"/>
                <w:color w:val="000000"/>
                <w:kern w:val="0"/>
                <w:lang w:eastAsia="sl-SI"/>
                <w14:ligatures w14:val="none"/>
              </w:rPr>
              <w:t>ESRR</w:t>
            </w:r>
          </w:p>
        </w:tc>
        <w:tc>
          <w:tcPr>
            <w:tcW w:w="970" w:type="dxa"/>
            <w:shd w:val="clear" w:color="auto" w:fill="auto"/>
            <w:noWrap/>
            <w:vAlign w:val="bottom"/>
            <w:hideMark/>
          </w:tcPr>
          <w:p w14:paraId="0B0ADDF1" w14:textId="774BDF91" w:rsidR="0045789C" w:rsidRPr="00680842" w:rsidRDefault="0045789C" w:rsidP="0045789C">
            <w:pPr>
              <w:spacing w:after="0" w:line="240" w:lineRule="auto"/>
              <w:rPr>
                <w:rFonts w:eastAsia="Times New Roman" w:cs="Arial"/>
                <w:color w:val="000000"/>
                <w:kern w:val="0"/>
                <w:lang w:eastAsia="sl-SI"/>
                <w14:ligatures w14:val="none"/>
              </w:rPr>
            </w:pPr>
            <w:r w:rsidRPr="00680842">
              <w:rPr>
                <w:rFonts w:eastAsia="Times New Roman" w:cs="Arial"/>
                <w:color w:val="000000"/>
                <w:kern w:val="0"/>
                <w:lang w:eastAsia="sl-SI"/>
                <w14:ligatures w14:val="none"/>
              </w:rPr>
              <w:t>Vzhod</w:t>
            </w:r>
          </w:p>
        </w:tc>
        <w:tc>
          <w:tcPr>
            <w:tcW w:w="1767" w:type="dxa"/>
            <w:shd w:val="clear" w:color="auto" w:fill="auto"/>
            <w:noWrap/>
            <w:vAlign w:val="bottom"/>
            <w:hideMark/>
          </w:tcPr>
          <w:p w14:paraId="3AF12BDC" w14:textId="2CA8DD8E" w:rsidR="0045789C" w:rsidRPr="00680842" w:rsidRDefault="0045789C" w:rsidP="0045789C">
            <w:pPr>
              <w:spacing w:after="0" w:line="240" w:lineRule="auto"/>
              <w:jc w:val="right"/>
              <w:rPr>
                <w:rFonts w:eastAsia="Times New Roman" w:cs="Arial"/>
                <w:kern w:val="0"/>
                <w:lang w:eastAsia="sl-SI"/>
                <w14:ligatures w14:val="none"/>
              </w:rPr>
            </w:pPr>
            <w:r w:rsidRPr="00680842">
              <w:rPr>
                <w:rFonts w:eastAsia="Times New Roman" w:cs="Arial"/>
                <w:kern w:val="0"/>
                <w:lang w:eastAsia="sl-SI"/>
                <w14:ligatures w14:val="none"/>
              </w:rPr>
              <w:t>109.313.122</w:t>
            </w:r>
          </w:p>
        </w:tc>
        <w:tc>
          <w:tcPr>
            <w:tcW w:w="3694" w:type="dxa"/>
            <w:shd w:val="clear" w:color="auto" w:fill="auto"/>
            <w:noWrap/>
            <w:vAlign w:val="bottom"/>
            <w:hideMark/>
          </w:tcPr>
          <w:p w14:paraId="512C716F" w14:textId="232DEB8B" w:rsidR="0045789C" w:rsidRPr="00680842" w:rsidRDefault="0045789C" w:rsidP="00680842">
            <w:pPr>
              <w:spacing w:after="0" w:line="240" w:lineRule="auto"/>
              <w:jc w:val="right"/>
              <w:rPr>
                <w:rFonts w:eastAsia="Times New Roman" w:cs="Arial"/>
                <w:kern w:val="0"/>
                <w:lang w:eastAsia="sl-SI"/>
                <w14:ligatures w14:val="none"/>
              </w:rPr>
            </w:pPr>
            <w:r w:rsidRPr="00680842">
              <w:rPr>
                <w:rFonts w:eastAsia="Times New Roman" w:cs="Arial"/>
                <w:kern w:val="0"/>
                <w:lang w:eastAsia="sl-SI"/>
                <w14:ligatures w14:val="none"/>
              </w:rPr>
              <w:t> </w:t>
            </w:r>
          </w:p>
        </w:tc>
        <w:tc>
          <w:tcPr>
            <w:tcW w:w="2239" w:type="dxa"/>
            <w:shd w:val="clear" w:color="auto" w:fill="auto"/>
            <w:noWrap/>
            <w:vAlign w:val="bottom"/>
            <w:hideMark/>
          </w:tcPr>
          <w:p w14:paraId="31089959" w14:textId="4D9471FF" w:rsidR="0045789C" w:rsidRPr="00986929" w:rsidRDefault="0045789C" w:rsidP="00680842">
            <w:pPr>
              <w:spacing w:after="0" w:line="240" w:lineRule="auto"/>
              <w:jc w:val="right"/>
              <w:rPr>
                <w:rFonts w:eastAsia="Times New Roman" w:cs="Arial"/>
                <w:kern w:val="0"/>
                <w:lang w:eastAsia="sl-SI"/>
                <w14:ligatures w14:val="none"/>
              </w:rPr>
            </w:pPr>
            <w:r w:rsidRPr="00680842">
              <w:rPr>
                <w:rFonts w:eastAsia="Times New Roman" w:cs="Arial"/>
                <w:kern w:val="0"/>
                <w:lang w:eastAsia="sl-SI"/>
                <w14:ligatures w14:val="none"/>
              </w:rPr>
              <w:t>109.313.122</w:t>
            </w:r>
          </w:p>
        </w:tc>
        <w:tc>
          <w:tcPr>
            <w:tcW w:w="2680" w:type="dxa"/>
            <w:shd w:val="clear" w:color="auto" w:fill="auto"/>
            <w:noWrap/>
            <w:vAlign w:val="bottom"/>
            <w:hideMark/>
          </w:tcPr>
          <w:p w14:paraId="31EFC5FF" w14:textId="60C945B5" w:rsidR="0045789C" w:rsidRPr="00986929" w:rsidRDefault="0045789C" w:rsidP="0045789C">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 </w:t>
            </w:r>
          </w:p>
        </w:tc>
      </w:tr>
      <w:tr w:rsidR="0022402B" w:rsidRPr="00986929" w14:paraId="34B4BD10" w14:textId="77777777" w:rsidTr="00680842">
        <w:trPr>
          <w:trHeight w:val="300"/>
        </w:trPr>
        <w:tc>
          <w:tcPr>
            <w:tcW w:w="423" w:type="dxa"/>
            <w:shd w:val="clear" w:color="auto" w:fill="auto"/>
            <w:noWrap/>
            <w:vAlign w:val="bottom"/>
          </w:tcPr>
          <w:p w14:paraId="4C2E4CA1" w14:textId="4F8771A5" w:rsidR="0045789C" w:rsidRPr="00986929" w:rsidRDefault="0045789C" w:rsidP="0045789C">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3</w:t>
            </w:r>
          </w:p>
        </w:tc>
        <w:tc>
          <w:tcPr>
            <w:tcW w:w="1223" w:type="dxa"/>
            <w:shd w:val="clear" w:color="auto" w:fill="auto"/>
            <w:noWrap/>
            <w:vAlign w:val="bottom"/>
          </w:tcPr>
          <w:p w14:paraId="273E87F1" w14:textId="79FE8AB9" w:rsidR="0045789C" w:rsidRPr="00986929" w:rsidRDefault="0045789C" w:rsidP="0045789C">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RSO 2.4</w:t>
            </w:r>
          </w:p>
        </w:tc>
        <w:tc>
          <w:tcPr>
            <w:tcW w:w="996" w:type="dxa"/>
            <w:shd w:val="clear" w:color="auto" w:fill="auto"/>
            <w:noWrap/>
            <w:vAlign w:val="bottom"/>
          </w:tcPr>
          <w:p w14:paraId="24F1FF05" w14:textId="2C935A11" w:rsidR="0045789C" w:rsidRPr="00986929" w:rsidRDefault="0045789C" w:rsidP="0045789C">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ESRR</w:t>
            </w:r>
          </w:p>
        </w:tc>
        <w:tc>
          <w:tcPr>
            <w:tcW w:w="970" w:type="dxa"/>
            <w:shd w:val="clear" w:color="auto" w:fill="auto"/>
            <w:noWrap/>
            <w:vAlign w:val="bottom"/>
          </w:tcPr>
          <w:p w14:paraId="72D12DD1" w14:textId="252CE2D0" w:rsidR="0045789C" w:rsidRPr="00986929" w:rsidRDefault="0045789C" w:rsidP="0045789C">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Zahod</w:t>
            </w:r>
          </w:p>
        </w:tc>
        <w:tc>
          <w:tcPr>
            <w:tcW w:w="1767" w:type="dxa"/>
            <w:shd w:val="clear" w:color="auto" w:fill="auto"/>
            <w:noWrap/>
            <w:vAlign w:val="bottom"/>
          </w:tcPr>
          <w:p w14:paraId="5DD7A44F" w14:textId="2ABB99B8" w:rsidR="0045789C" w:rsidRPr="00986929" w:rsidRDefault="0045789C" w:rsidP="0045789C">
            <w:pPr>
              <w:spacing w:after="0" w:line="240" w:lineRule="auto"/>
              <w:jc w:val="right"/>
              <w:rPr>
                <w:rFonts w:ascii="Calibri" w:hAnsi="Calibri" w:cs="Calibri"/>
                <w:color w:val="000000" w:themeColor="text1"/>
                <w:kern w:val="0"/>
                <w:sz w:val="22"/>
                <w:lang w:eastAsia="sl-SI"/>
                <w14:ligatures w14:val="none"/>
              </w:rPr>
            </w:pPr>
          </w:p>
        </w:tc>
        <w:tc>
          <w:tcPr>
            <w:tcW w:w="3694" w:type="dxa"/>
            <w:shd w:val="clear" w:color="auto" w:fill="auto"/>
            <w:noWrap/>
            <w:vAlign w:val="bottom"/>
          </w:tcPr>
          <w:p w14:paraId="34C74E6E" w14:textId="5B06688F" w:rsidR="0045789C" w:rsidRPr="00986929" w:rsidRDefault="0045789C" w:rsidP="00680842">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+ 13.306.0</w:t>
            </w:r>
            <w:r w:rsidRPr="718E95E5" w:rsidDel="002B15DA">
              <w:rPr>
                <w:rFonts w:eastAsia="Times New Roman" w:cs="Arial"/>
                <w:kern w:val="0"/>
                <w:lang w:eastAsia="sl-SI"/>
                <w14:ligatures w14:val="none"/>
              </w:rPr>
              <w:t>48</w:t>
            </w:r>
          </w:p>
        </w:tc>
        <w:tc>
          <w:tcPr>
            <w:tcW w:w="2239" w:type="dxa"/>
            <w:shd w:val="clear" w:color="auto" w:fill="auto"/>
            <w:noWrap/>
            <w:vAlign w:val="bottom"/>
          </w:tcPr>
          <w:p w14:paraId="5D18A2BB" w14:textId="59517A89" w:rsidR="0045789C" w:rsidRPr="00986929" w:rsidRDefault="0045789C" w:rsidP="00680842">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13.306.048</w:t>
            </w:r>
          </w:p>
        </w:tc>
        <w:tc>
          <w:tcPr>
            <w:tcW w:w="2680" w:type="dxa"/>
            <w:shd w:val="clear" w:color="auto" w:fill="auto"/>
            <w:noWrap/>
            <w:vAlign w:val="bottom"/>
          </w:tcPr>
          <w:p w14:paraId="1527D8CC" w14:textId="13CAC583" w:rsidR="0045789C" w:rsidRPr="00986929" w:rsidRDefault="0045789C" w:rsidP="0045789C">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Novo: Prenos iz RSO2.5, ESRR Zahod</w:t>
            </w:r>
          </w:p>
        </w:tc>
      </w:tr>
      <w:tr w:rsidR="0022402B" w:rsidRPr="00986929" w14:paraId="1D493F68" w14:textId="77777777" w:rsidTr="00680842">
        <w:trPr>
          <w:trHeight w:val="300"/>
        </w:trPr>
        <w:tc>
          <w:tcPr>
            <w:tcW w:w="423" w:type="dxa"/>
            <w:shd w:val="clear" w:color="auto" w:fill="auto"/>
            <w:noWrap/>
            <w:vAlign w:val="bottom"/>
            <w:hideMark/>
          </w:tcPr>
          <w:p w14:paraId="44826538" w14:textId="77777777" w:rsidR="0045789C" w:rsidRPr="00986929" w:rsidRDefault="0045789C" w:rsidP="0045789C">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3</w:t>
            </w:r>
          </w:p>
        </w:tc>
        <w:tc>
          <w:tcPr>
            <w:tcW w:w="1223" w:type="dxa"/>
            <w:shd w:val="clear" w:color="auto" w:fill="auto"/>
            <w:noWrap/>
            <w:vAlign w:val="bottom"/>
            <w:hideMark/>
          </w:tcPr>
          <w:p w14:paraId="5971E7B0" w14:textId="79D2DA33" w:rsidR="0045789C" w:rsidRPr="00986929" w:rsidRDefault="0045789C" w:rsidP="0045789C">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RSO 2.4</w:t>
            </w:r>
          </w:p>
        </w:tc>
        <w:tc>
          <w:tcPr>
            <w:tcW w:w="996" w:type="dxa"/>
            <w:shd w:val="clear" w:color="auto" w:fill="auto"/>
            <w:noWrap/>
            <w:vAlign w:val="bottom"/>
            <w:hideMark/>
          </w:tcPr>
          <w:p w14:paraId="01D23CAF" w14:textId="78FE3B92" w:rsidR="0045789C" w:rsidRPr="00986929" w:rsidRDefault="0045789C" w:rsidP="0045789C">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KS</w:t>
            </w:r>
          </w:p>
        </w:tc>
        <w:tc>
          <w:tcPr>
            <w:tcW w:w="970" w:type="dxa"/>
            <w:shd w:val="clear" w:color="auto" w:fill="auto"/>
            <w:noWrap/>
            <w:vAlign w:val="bottom"/>
            <w:hideMark/>
          </w:tcPr>
          <w:p w14:paraId="796EAEB5" w14:textId="5B64400F" w:rsidR="0045789C" w:rsidRPr="00986929" w:rsidRDefault="0045789C" w:rsidP="0045789C">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Celotna SI</w:t>
            </w:r>
          </w:p>
        </w:tc>
        <w:tc>
          <w:tcPr>
            <w:tcW w:w="1767" w:type="dxa"/>
            <w:shd w:val="clear" w:color="auto" w:fill="auto"/>
            <w:noWrap/>
            <w:vAlign w:val="bottom"/>
            <w:hideMark/>
          </w:tcPr>
          <w:p w14:paraId="26314B3F" w14:textId="3317D3DB" w:rsidR="0045789C" w:rsidRPr="00986929" w:rsidRDefault="0045789C" w:rsidP="0045789C">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49.730.000</w:t>
            </w:r>
          </w:p>
        </w:tc>
        <w:tc>
          <w:tcPr>
            <w:tcW w:w="3694" w:type="dxa"/>
            <w:shd w:val="clear" w:color="auto" w:fill="auto"/>
            <w:noWrap/>
            <w:vAlign w:val="bottom"/>
            <w:hideMark/>
          </w:tcPr>
          <w:p w14:paraId="4C20733F" w14:textId="5571192C" w:rsidR="0045789C" w:rsidRPr="00986929" w:rsidRDefault="0045789C" w:rsidP="00680842">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9.</w:t>
            </w:r>
            <w:r w:rsidR="4A590575" w:rsidRPr="2DBE8C84" w:rsidDel="002B15DA">
              <w:rPr>
                <w:rFonts w:eastAsia="Times New Roman" w:cs="Arial"/>
                <w:kern w:val="0"/>
                <w:lang w:eastAsia="sl-SI"/>
                <w14:ligatures w14:val="none"/>
              </w:rPr>
              <w:t>69</w:t>
            </w:r>
            <w:r w:rsidR="6AF3397F" w:rsidRPr="2DBE8C84" w:rsidDel="002B15DA">
              <w:rPr>
                <w:rFonts w:eastAsia="Times New Roman" w:cs="Arial"/>
                <w:kern w:val="0"/>
                <w:lang w:eastAsia="sl-SI"/>
                <w14:ligatures w14:val="none"/>
              </w:rPr>
              <w:t>0</w:t>
            </w:r>
            <w:r w:rsidRPr="718E95E5">
              <w:rPr>
                <w:rFonts w:eastAsia="Times New Roman" w:cs="Arial"/>
                <w:kern w:val="0"/>
                <w:lang w:eastAsia="sl-SI"/>
                <w14:ligatures w14:val="none"/>
              </w:rPr>
              <w:t>.000</w:t>
            </w:r>
          </w:p>
        </w:tc>
        <w:tc>
          <w:tcPr>
            <w:tcW w:w="2239" w:type="dxa"/>
            <w:shd w:val="clear" w:color="auto" w:fill="auto"/>
            <w:noWrap/>
            <w:vAlign w:val="bottom"/>
            <w:hideMark/>
          </w:tcPr>
          <w:p w14:paraId="13F21D0B" w14:textId="51F4907F" w:rsidR="0045789C" w:rsidRPr="00986929" w:rsidRDefault="0045789C" w:rsidP="00680842">
            <w:pPr>
              <w:spacing w:after="0" w:line="240" w:lineRule="auto"/>
              <w:jc w:val="right"/>
              <w:rPr>
                <w:rFonts w:eastAsia="Times New Roman" w:cs="Arial"/>
                <w:kern w:val="0"/>
                <w:lang w:eastAsia="sl-SI"/>
                <w14:ligatures w14:val="none"/>
              </w:rPr>
            </w:pPr>
            <w:r w:rsidRPr="718E95E5">
              <w:rPr>
                <w:rFonts w:eastAsia="Times New Roman" w:cs="Arial"/>
                <w:kern w:val="0"/>
                <w:lang w:eastAsia="sl-SI"/>
                <w14:ligatures w14:val="none"/>
              </w:rPr>
              <w:t>59.130.000</w:t>
            </w:r>
          </w:p>
        </w:tc>
        <w:tc>
          <w:tcPr>
            <w:tcW w:w="2680" w:type="dxa"/>
            <w:shd w:val="clear" w:color="auto" w:fill="auto"/>
            <w:noWrap/>
            <w:vAlign w:val="bottom"/>
            <w:hideMark/>
          </w:tcPr>
          <w:p w14:paraId="4A50EAB7" w14:textId="079EFFB6" w:rsidR="0045789C" w:rsidRPr="00986929" w:rsidRDefault="0045789C" w:rsidP="0045789C">
            <w:pPr>
              <w:spacing w:after="0" w:line="240" w:lineRule="auto"/>
              <w:rPr>
                <w:rFonts w:eastAsia="Times New Roman" w:cs="Arial"/>
                <w:color w:val="000000"/>
                <w:kern w:val="0"/>
                <w:lang w:eastAsia="sl-SI"/>
                <w14:ligatures w14:val="none"/>
              </w:rPr>
            </w:pPr>
            <w:r w:rsidRPr="718E95E5">
              <w:rPr>
                <w:rFonts w:eastAsia="Times New Roman" w:cs="Arial"/>
                <w:color w:val="000000"/>
                <w:kern w:val="0"/>
                <w:lang w:eastAsia="sl-SI"/>
                <w14:ligatures w14:val="none"/>
              </w:rPr>
              <w:t>Prenos iz Spodbujanje trajnostne mobilnosti na horizontalni ravni na NIO SOVIR</w:t>
            </w:r>
          </w:p>
        </w:tc>
      </w:tr>
      <w:tr w:rsidR="0022402B" w:rsidRPr="00986929" w14:paraId="6DB14823" w14:textId="77777777" w:rsidTr="00680842">
        <w:trPr>
          <w:trHeight w:val="300"/>
        </w:trPr>
        <w:tc>
          <w:tcPr>
            <w:tcW w:w="423" w:type="dxa"/>
            <w:shd w:val="clear" w:color="auto" w:fill="auto"/>
            <w:noWrap/>
            <w:vAlign w:val="bottom"/>
            <w:hideMark/>
          </w:tcPr>
          <w:p w14:paraId="1E1232DA"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3</w:t>
            </w:r>
          </w:p>
        </w:tc>
        <w:tc>
          <w:tcPr>
            <w:tcW w:w="1223" w:type="dxa"/>
            <w:shd w:val="clear" w:color="auto" w:fill="auto"/>
            <w:noWrap/>
            <w:vAlign w:val="bottom"/>
            <w:hideMark/>
          </w:tcPr>
          <w:p w14:paraId="3B35A645"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2.5</w:t>
            </w:r>
          </w:p>
        </w:tc>
        <w:tc>
          <w:tcPr>
            <w:tcW w:w="996" w:type="dxa"/>
            <w:shd w:val="clear" w:color="auto" w:fill="auto"/>
            <w:noWrap/>
            <w:vAlign w:val="bottom"/>
            <w:hideMark/>
          </w:tcPr>
          <w:p w14:paraId="14386D13"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53BD3ABB"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1D83070E"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13.306.048</w:t>
            </w:r>
          </w:p>
        </w:tc>
        <w:tc>
          <w:tcPr>
            <w:tcW w:w="3694" w:type="dxa"/>
            <w:shd w:val="clear" w:color="auto" w:fill="auto"/>
            <w:noWrap/>
            <w:vAlign w:val="bottom"/>
            <w:hideMark/>
          </w:tcPr>
          <w:p w14:paraId="46B265DF" w14:textId="3D0C717C" w:rsidR="00D33195" w:rsidRPr="00986929" w:rsidRDefault="00D33195" w:rsidP="00680842">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 </w:t>
            </w:r>
            <w:r w:rsidR="001F3ABB">
              <w:rPr>
                <w:rFonts w:eastAsia="Times New Roman" w:cs="Arial"/>
                <w:kern w:val="0"/>
                <w:szCs w:val="20"/>
                <w:lang w:eastAsia="sl-SI"/>
                <w14:ligatures w14:val="none"/>
              </w:rPr>
              <w:t xml:space="preserve">- </w:t>
            </w:r>
            <w:r w:rsidR="001F3ABB" w:rsidRPr="001F3ABB">
              <w:rPr>
                <w:rFonts w:eastAsia="Times New Roman" w:cs="Arial"/>
                <w:kern w:val="0"/>
                <w:szCs w:val="20"/>
                <w:lang w:eastAsia="sl-SI"/>
                <w14:ligatures w14:val="none"/>
              </w:rPr>
              <w:t>13.306.048</w:t>
            </w:r>
          </w:p>
        </w:tc>
        <w:tc>
          <w:tcPr>
            <w:tcW w:w="2239" w:type="dxa"/>
            <w:shd w:val="clear" w:color="auto" w:fill="auto"/>
            <w:noWrap/>
            <w:vAlign w:val="bottom"/>
            <w:hideMark/>
          </w:tcPr>
          <w:p w14:paraId="44FB0848" w14:textId="51484937" w:rsidR="00D33195" w:rsidRPr="00986929" w:rsidRDefault="001F3ABB" w:rsidP="00680842">
            <w:pPr>
              <w:spacing w:after="0" w:line="240" w:lineRule="auto"/>
              <w:jc w:val="right"/>
              <w:rPr>
                <w:rFonts w:eastAsia="Times New Roman" w:cs="Arial"/>
                <w:kern w:val="0"/>
                <w:szCs w:val="20"/>
                <w:lang w:eastAsia="sl-SI"/>
                <w14:ligatures w14:val="none"/>
              </w:rPr>
            </w:pPr>
            <w:r>
              <w:rPr>
                <w:rFonts w:eastAsia="Times New Roman" w:cs="Arial"/>
                <w:kern w:val="0"/>
                <w:szCs w:val="20"/>
                <w:lang w:eastAsia="sl-SI"/>
                <w14:ligatures w14:val="none"/>
              </w:rPr>
              <w:t>0</w:t>
            </w:r>
          </w:p>
        </w:tc>
        <w:tc>
          <w:tcPr>
            <w:tcW w:w="2680" w:type="dxa"/>
            <w:shd w:val="clear" w:color="auto" w:fill="auto"/>
            <w:noWrap/>
            <w:vAlign w:val="bottom"/>
            <w:hideMark/>
          </w:tcPr>
          <w:p w14:paraId="6D799E0D" w14:textId="5FC9BC2B" w:rsidR="00D33195" w:rsidRPr="00986929" w:rsidRDefault="001F3ABB" w:rsidP="00F545BB">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Prenos sredstev na RSO 2.4, ESRR Zahod.</w:t>
            </w:r>
          </w:p>
        </w:tc>
      </w:tr>
      <w:tr w:rsidR="0022402B" w:rsidRPr="00986929" w14:paraId="4EBFB217" w14:textId="77777777" w:rsidTr="00680842">
        <w:trPr>
          <w:trHeight w:val="300"/>
        </w:trPr>
        <w:tc>
          <w:tcPr>
            <w:tcW w:w="423" w:type="dxa"/>
            <w:shd w:val="clear" w:color="auto" w:fill="auto"/>
            <w:noWrap/>
            <w:vAlign w:val="bottom"/>
            <w:hideMark/>
          </w:tcPr>
          <w:p w14:paraId="45296AD0"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3</w:t>
            </w:r>
          </w:p>
        </w:tc>
        <w:tc>
          <w:tcPr>
            <w:tcW w:w="1223" w:type="dxa"/>
            <w:shd w:val="clear" w:color="auto" w:fill="auto"/>
            <w:noWrap/>
            <w:vAlign w:val="bottom"/>
            <w:hideMark/>
          </w:tcPr>
          <w:p w14:paraId="60F39064"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2.5</w:t>
            </w:r>
          </w:p>
        </w:tc>
        <w:tc>
          <w:tcPr>
            <w:tcW w:w="996" w:type="dxa"/>
            <w:shd w:val="clear" w:color="auto" w:fill="auto"/>
            <w:noWrap/>
            <w:vAlign w:val="bottom"/>
            <w:hideMark/>
          </w:tcPr>
          <w:p w14:paraId="7AF73C91"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KS</w:t>
            </w:r>
          </w:p>
        </w:tc>
        <w:tc>
          <w:tcPr>
            <w:tcW w:w="970" w:type="dxa"/>
            <w:shd w:val="clear" w:color="auto" w:fill="auto"/>
            <w:noWrap/>
            <w:vAlign w:val="bottom"/>
            <w:hideMark/>
          </w:tcPr>
          <w:p w14:paraId="79DB8A9F"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Celotna SI</w:t>
            </w:r>
          </w:p>
        </w:tc>
        <w:tc>
          <w:tcPr>
            <w:tcW w:w="1767" w:type="dxa"/>
            <w:shd w:val="clear" w:color="auto" w:fill="auto"/>
            <w:noWrap/>
            <w:vAlign w:val="bottom"/>
            <w:hideMark/>
          </w:tcPr>
          <w:p w14:paraId="7661F104"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155.350.000</w:t>
            </w:r>
          </w:p>
        </w:tc>
        <w:tc>
          <w:tcPr>
            <w:tcW w:w="3694" w:type="dxa"/>
            <w:shd w:val="clear" w:color="auto" w:fill="auto"/>
            <w:noWrap/>
            <w:vAlign w:val="bottom"/>
            <w:hideMark/>
          </w:tcPr>
          <w:p w14:paraId="26681F04" w14:textId="77777777" w:rsidR="00D33195" w:rsidRPr="00986929" w:rsidRDefault="00D33195" w:rsidP="00680842">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037A99F9" w14:textId="77777777" w:rsidR="00D33195" w:rsidRPr="00986929" w:rsidRDefault="00D33195" w:rsidP="00680842">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155.350.000</w:t>
            </w:r>
          </w:p>
        </w:tc>
        <w:tc>
          <w:tcPr>
            <w:tcW w:w="2680" w:type="dxa"/>
            <w:shd w:val="clear" w:color="auto" w:fill="auto"/>
            <w:noWrap/>
            <w:vAlign w:val="bottom"/>
            <w:hideMark/>
          </w:tcPr>
          <w:p w14:paraId="11719DCE"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79F01BAA" w14:textId="77777777" w:rsidTr="00680842">
        <w:trPr>
          <w:trHeight w:val="300"/>
        </w:trPr>
        <w:tc>
          <w:tcPr>
            <w:tcW w:w="423" w:type="dxa"/>
            <w:shd w:val="clear" w:color="auto" w:fill="auto"/>
            <w:noWrap/>
            <w:vAlign w:val="bottom"/>
            <w:hideMark/>
          </w:tcPr>
          <w:p w14:paraId="2B1FF66C"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3</w:t>
            </w:r>
          </w:p>
        </w:tc>
        <w:tc>
          <w:tcPr>
            <w:tcW w:w="1223" w:type="dxa"/>
            <w:shd w:val="clear" w:color="auto" w:fill="auto"/>
            <w:noWrap/>
            <w:vAlign w:val="bottom"/>
            <w:hideMark/>
          </w:tcPr>
          <w:p w14:paraId="043D4D74"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2.6</w:t>
            </w:r>
          </w:p>
        </w:tc>
        <w:tc>
          <w:tcPr>
            <w:tcW w:w="996" w:type="dxa"/>
            <w:shd w:val="clear" w:color="auto" w:fill="auto"/>
            <w:noWrap/>
            <w:vAlign w:val="bottom"/>
            <w:hideMark/>
          </w:tcPr>
          <w:p w14:paraId="3ED101CE"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733F0B2F"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549CF1A0"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41.573.100</w:t>
            </w:r>
          </w:p>
        </w:tc>
        <w:tc>
          <w:tcPr>
            <w:tcW w:w="3694" w:type="dxa"/>
            <w:shd w:val="clear" w:color="auto" w:fill="auto"/>
            <w:noWrap/>
            <w:vAlign w:val="bottom"/>
            <w:hideMark/>
          </w:tcPr>
          <w:p w14:paraId="23EE622A"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0B38B356"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41.573.100</w:t>
            </w:r>
          </w:p>
        </w:tc>
        <w:tc>
          <w:tcPr>
            <w:tcW w:w="2680" w:type="dxa"/>
            <w:shd w:val="clear" w:color="auto" w:fill="auto"/>
            <w:noWrap/>
            <w:vAlign w:val="bottom"/>
            <w:hideMark/>
          </w:tcPr>
          <w:p w14:paraId="1944A810"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757B4B13" w14:textId="77777777" w:rsidTr="00680842">
        <w:trPr>
          <w:trHeight w:val="300"/>
        </w:trPr>
        <w:tc>
          <w:tcPr>
            <w:tcW w:w="423" w:type="dxa"/>
            <w:shd w:val="clear" w:color="auto" w:fill="auto"/>
            <w:noWrap/>
            <w:vAlign w:val="bottom"/>
            <w:hideMark/>
          </w:tcPr>
          <w:p w14:paraId="0B624F42"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3</w:t>
            </w:r>
          </w:p>
        </w:tc>
        <w:tc>
          <w:tcPr>
            <w:tcW w:w="1223" w:type="dxa"/>
            <w:shd w:val="clear" w:color="auto" w:fill="auto"/>
            <w:noWrap/>
            <w:vAlign w:val="bottom"/>
            <w:hideMark/>
          </w:tcPr>
          <w:p w14:paraId="55874C40"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2.6</w:t>
            </w:r>
          </w:p>
        </w:tc>
        <w:tc>
          <w:tcPr>
            <w:tcW w:w="996" w:type="dxa"/>
            <w:shd w:val="clear" w:color="auto" w:fill="auto"/>
            <w:noWrap/>
            <w:vAlign w:val="bottom"/>
            <w:hideMark/>
          </w:tcPr>
          <w:p w14:paraId="428512B5"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062B9355"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50BFD4BB"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15.772.600</w:t>
            </w:r>
          </w:p>
        </w:tc>
        <w:tc>
          <w:tcPr>
            <w:tcW w:w="3694" w:type="dxa"/>
            <w:shd w:val="clear" w:color="auto" w:fill="auto"/>
            <w:noWrap/>
            <w:vAlign w:val="bottom"/>
            <w:hideMark/>
          </w:tcPr>
          <w:p w14:paraId="6A50F441"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3EB75826"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15.772.600</w:t>
            </w:r>
          </w:p>
        </w:tc>
        <w:tc>
          <w:tcPr>
            <w:tcW w:w="2680" w:type="dxa"/>
            <w:shd w:val="clear" w:color="auto" w:fill="auto"/>
            <w:noWrap/>
            <w:vAlign w:val="bottom"/>
            <w:hideMark/>
          </w:tcPr>
          <w:p w14:paraId="1ABD9149"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0FA9625F" w14:textId="77777777" w:rsidTr="00680842">
        <w:trPr>
          <w:trHeight w:val="300"/>
        </w:trPr>
        <w:tc>
          <w:tcPr>
            <w:tcW w:w="423" w:type="dxa"/>
            <w:shd w:val="clear" w:color="auto" w:fill="auto"/>
            <w:noWrap/>
            <w:vAlign w:val="bottom"/>
            <w:hideMark/>
          </w:tcPr>
          <w:p w14:paraId="15FC0287"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3</w:t>
            </w:r>
          </w:p>
        </w:tc>
        <w:tc>
          <w:tcPr>
            <w:tcW w:w="1223" w:type="dxa"/>
            <w:shd w:val="clear" w:color="auto" w:fill="auto"/>
            <w:noWrap/>
            <w:vAlign w:val="bottom"/>
            <w:hideMark/>
          </w:tcPr>
          <w:p w14:paraId="7FF9BACC"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2.7</w:t>
            </w:r>
          </w:p>
        </w:tc>
        <w:tc>
          <w:tcPr>
            <w:tcW w:w="996" w:type="dxa"/>
            <w:shd w:val="clear" w:color="auto" w:fill="auto"/>
            <w:noWrap/>
            <w:vAlign w:val="bottom"/>
            <w:hideMark/>
          </w:tcPr>
          <w:p w14:paraId="2A80286F"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119BFBC6"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28169F6A"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52.033.677</w:t>
            </w:r>
          </w:p>
        </w:tc>
        <w:tc>
          <w:tcPr>
            <w:tcW w:w="3694" w:type="dxa"/>
            <w:shd w:val="clear" w:color="auto" w:fill="auto"/>
            <w:noWrap/>
            <w:vAlign w:val="bottom"/>
            <w:hideMark/>
          </w:tcPr>
          <w:p w14:paraId="06EE801A"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06B509B7"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52.033.677</w:t>
            </w:r>
          </w:p>
        </w:tc>
        <w:tc>
          <w:tcPr>
            <w:tcW w:w="2680" w:type="dxa"/>
            <w:shd w:val="clear" w:color="auto" w:fill="auto"/>
            <w:noWrap/>
            <w:vAlign w:val="bottom"/>
            <w:hideMark/>
          </w:tcPr>
          <w:p w14:paraId="6A4261A8"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4F57F60E" w14:textId="77777777" w:rsidTr="00680842">
        <w:trPr>
          <w:trHeight w:val="300"/>
        </w:trPr>
        <w:tc>
          <w:tcPr>
            <w:tcW w:w="423" w:type="dxa"/>
            <w:shd w:val="clear" w:color="auto" w:fill="auto"/>
            <w:noWrap/>
            <w:vAlign w:val="bottom"/>
            <w:hideMark/>
          </w:tcPr>
          <w:p w14:paraId="702F7F0C"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3</w:t>
            </w:r>
          </w:p>
        </w:tc>
        <w:tc>
          <w:tcPr>
            <w:tcW w:w="1223" w:type="dxa"/>
            <w:shd w:val="clear" w:color="auto" w:fill="auto"/>
            <w:noWrap/>
            <w:vAlign w:val="bottom"/>
            <w:hideMark/>
          </w:tcPr>
          <w:p w14:paraId="6929D376"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2.7</w:t>
            </w:r>
          </w:p>
        </w:tc>
        <w:tc>
          <w:tcPr>
            <w:tcW w:w="996" w:type="dxa"/>
            <w:shd w:val="clear" w:color="auto" w:fill="auto"/>
            <w:noWrap/>
            <w:vAlign w:val="bottom"/>
            <w:hideMark/>
          </w:tcPr>
          <w:p w14:paraId="04A2497C"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60E9D7F0"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060DED61"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28.145.544</w:t>
            </w:r>
          </w:p>
        </w:tc>
        <w:tc>
          <w:tcPr>
            <w:tcW w:w="3694" w:type="dxa"/>
            <w:shd w:val="clear" w:color="auto" w:fill="auto"/>
            <w:noWrap/>
            <w:vAlign w:val="bottom"/>
            <w:hideMark/>
          </w:tcPr>
          <w:p w14:paraId="5F5857E3"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5B307B67"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28.145.544</w:t>
            </w:r>
          </w:p>
        </w:tc>
        <w:tc>
          <w:tcPr>
            <w:tcW w:w="2680" w:type="dxa"/>
            <w:shd w:val="clear" w:color="auto" w:fill="auto"/>
            <w:noWrap/>
            <w:vAlign w:val="bottom"/>
            <w:hideMark/>
          </w:tcPr>
          <w:p w14:paraId="6DFAF362"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3AC42A95" w14:textId="77777777" w:rsidTr="00680842">
        <w:trPr>
          <w:trHeight w:val="300"/>
        </w:trPr>
        <w:tc>
          <w:tcPr>
            <w:tcW w:w="423" w:type="dxa"/>
            <w:shd w:val="clear" w:color="auto" w:fill="auto"/>
            <w:noWrap/>
            <w:vAlign w:val="bottom"/>
            <w:hideMark/>
          </w:tcPr>
          <w:p w14:paraId="7C874FDF"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3</w:t>
            </w:r>
          </w:p>
        </w:tc>
        <w:tc>
          <w:tcPr>
            <w:tcW w:w="1223" w:type="dxa"/>
            <w:shd w:val="clear" w:color="auto" w:fill="auto"/>
            <w:noWrap/>
            <w:vAlign w:val="bottom"/>
            <w:hideMark/>
          </w:tcPr>
          <w:p w14:paraId="6E102794"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2.7</w:t>
            </w:r>
          </w:p>
        </w:tc>
        <w:tc>
          <w:tcPr>
            <w:tcW w:w="996" w:type="dxa"/>
            <w:shd w:val="clear" w:color="auto" w:fill="auto"/>
            <w:noWrap/>
            <w:vAlign w:val="bottom"/>
            <w:hideMark/>
          </w:tcPr>
          <w:p w14:paraId="7CCB457C"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KS</w:t>
            </w:r>
          </w:p>
        </w:tc>
        <w:tc>
          <w:tcPr>
            <w:tcW w:w="970" w:type="dxa"/>
            <w:shd w:val="clear" w:color="auto" w:fill="auto"/>
            <w:noWrap/>
            <w:vAlign w:val="bottom"/>
            <w:hideMark/>
          </w:tcPr>
          <w:p w14:paraId="1D359578"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Celotna SI</w:t>
            </w:r>
          </w:p>
        </w:tc>
        <w:tc>
          <w:tcPr>
            <w:tcW w:w="1767" w:type="dxa"/>
            <w:shd w:val="clear" w:color="auto" w:fill="auto"/>
            <w:noWrap/>
            <w:vAlign w:val="bottom"/>
            <w:hideMark/>
          </w:tcPr>
          <w:p w14:paraId="2BB3D3F8"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2.550.000</w:t>
            </w:r>
          </w:p>
        </w:tc>
        <w:tc>
          <w:tcPr>
            <w:tcW w:w="3694" w:type="dxa"/>
            <w:shd w:val="clear" w:color="auto" w:fill="auto"/>
            <w:noWrap/>
            <w:vAlign w:val="bottom"/>
            <w:hideMark/>
          </w:tcPr>
          <w:p w14:paraId="2CD78D7D"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645BB752"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2.550.000</w:t>
            </w:r>
          </w:p>
        </w:tc>
        <w:tc>
          <w:tcPr>
            <w:tcW w:w="2680" w:type="dxa"/>
            <w:shd w:val="clear" w:color="auto" w:fill="auto"/>
            <w:noWrap/>
            <w:vAlign w:val="bottom"/>
            <w:hideMark/>
          </w:tcPr>
          <w:p w14:paraId="2D94A67F"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7BD2AF83" w14:textId="77777777" w:rsidTr="00680842">
        <w:trPr>
          <w:trHeight w:val="300"/>
        </w:trPr>
        <w:tc>
          <w:tcPr>
            <w:tcW w:w="423" w:type="dxa"/>
            <w:shd w:val="clear" w:color="auto" w:fill="auto"/>
            <w:noWrap/>
            <w:vAlign w:val="bottom"/>
            <w:hideMark/>
          </w:tcPr>
          <w:p w14:paraId="12A264CF"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4</w:t>
            </w:r>
          </w:p>
        </w:tc>
        <w:tc>
          <w:tcPr>
            <w:tcW w:w="1223" w:type="dxa"/>
            <w:shd w:val="clear" w:color="auto" w:fill="auto"/>
            <w:noWrap/>
            <w:vAlign w:val="bottom"/>
            <w:hideMark/>
          </w:tcPr>
          <w:p w14:paraId="7B020208"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2.8</w:t>
            </w:r>
          </w:p>
        </w:tc>
        <w:tc>
          <w:tcPr>
            <w:tcW w:w="996" w:type="dxa"/>
            <w:shd w:val="clear" w:color="auto" w:fill="auto"/>
            <w:noWrap/>
            <w:vAlign w:val="bottom"/>
            <w:hideMark/>
          </w:tcPr>
          <w:p w14:paraId="1714ECE3"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18D07D3C"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11612630"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37.272.561</w:t>
            </w:r>
          </w:p>
        </w:tc>
        <w:tc>
          <w:tcPr>
            <w:tcW w:w="3694" w:type="dxa"/>
            <w:shd w:val="clear" w:color="auto" w:fill="auto"/>
            <w:noWrap/>
            <w:vAlign w:val="bottom"/>
            <w:hideMark/>
          </w:tcPr>
          <w:p w14:paraId="5702CC8A"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216DA074"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37.272.561</w:t>
            </w:r>
          </w:p>
        </w:tc>
        <w:tc>
          <w:tcPr>
            <w:tcW w:w="2680" w:type="dxa"/>
            <w:shd w:val="clear" w:color="auto" w:fill="auto"/>
            <w:noWrap/>
            <w:vAlign w:val="bottom"/>
            <w:hideMark/>
          </w:tcPr>
          <w:p w14:paraId="05B13F36"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1B5C10C2" w14:textId="77777777" w:rsidTr="00680842">
        <w:trPr>
          <w:trHeight w:val="300"/>
        </w:trPr>
        <w:tc>
          <w:tcPr>
            <w:tcW w:w="423" w:type="dxa"/>
            <w:shd w:val="clear" w:color="auto" w:fill="auto"/>
            <w:noWrap/>
            <w:vAlign w:val="bottom"/>
            <w:hideMark/>
          </w:tcPr>
          <w:p w14:paraId="5CA43DEF"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4</w:t>
            </w:r>
          </w:p>
        </w:tc>
        <w:tc>
          <w:tcPr>
            <w:tcW w:w="1223" w:type="dxa"/>
            <w:shd w:val="clear" w:color="auto" w:fill="auto"/>
            <w:noWrap/>
            <w:vAlign w:val="bottom"/>
            <w:hideMark/>
          </w:tcPr>
          <w:p w14:paraId="23E8D1B8"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2.8</w:t>
            </w:r>
          </w:p>
        </w:tc>
        <w:tc>
          <w:tcPr>
            <w:tcW w:w="996" w:type="dxa"/>
            <w:shd w:val="clear" w:color="auto" w:fill="auto"/>
            <w:noWrap/>
            <w:vAlign w:val="bottom"/>
            <w:hideMark/>
          </w:tcPr>
          <w:p w14:paraId="35C235CB"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76967E31"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067408A7"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16.644.692</w:t>
            </w:r>
          </w:p>
        </w:tc>
        <w:tc>
          <w:tcPr>
            <w:tcW w:w="3694" w:type="dxa"/>
            <w:shd w:val="clear" w:color="auto" w:fill="auto"/>
            <w:noWrap/>
            <w:vAlign w:val="bottom"/>
            <w:hideMark/>
          </w:tcPr>
          <w:p w14:paraId="2C7CA30B"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4487B590"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16.644.692</w:t>
            </w:r>
          </w:p>
        </w:tc>
        <w:tc>
          <w:tcPr>
            <w:tcW w:w="2680" w:type="dxa"/>
            <w:shd w:val="clear" w:color="auto" w:fill="auto"/>
            <w:noWrap/>
            <w:vAlign w:val="bottom"/>
            <w:hideMark/>
          </w:tcPr>
          <w:p w14:paraId="254D239D"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3B9E6C2A" w14:textId="77777777" w:rsidTr="00680842">
        <w:trPr>
          <w:trHeight w:val="300"/>
        </w:trPr>
        <w:tc>
          <w:tcPr>
            <w:tcW w:w="423" w:type="dxa"/>
            <w:shd w:val="clear" w:color="auto" w:fill="auto"/>
            <w:noWrap/>
            <w:vAlign w:val="bottom"/>
            <w:hideMark/>
          </w:tcPr>
          <w:p w14:paraId="35FBAA55"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5</w:t>
            </w:r>
          </w:p>
        </w:tc>
        <w:tc>
          <w:tcPr>
            <w:tcW w:w="1223" w:type="dxa"/>
            <w:shd w:val="clear" w:color="auto" w:fill="auto"/>
            <w:noWrap/>
            <w:vAlign w:val="bottom"/>
            <w:hideMark/>
          </w:tcPr>
          <w:p w14:paraId="12C26024"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3.1</w:t>
            </w:r>
          </w:p>
        </w:tc>
        <w:tc>
          <w:tcPr>
            <w:tcW w:w="996" w:type="dxa"/>
            <w:shd w:val="clear" w:color="auto" w:fill="auto"/>
            <w:noWrap/>
            <w:vAlign w:val="bottom"/>
            <w:hideMark/>
          </w:tcPr>
          <w:p w14:paraId="45EEEFB6"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KS</w:t>
            </w:r>
          </w:p>
        </w:tc>
        <w:tc>
          <w:tcPr>
            <w:tcW w:w="970" w:type="dxa"/>
            <w:shd w:val="clear" w:color="auto" w:fill="auto"/>
            <w:noWrap/>
            <w:vAlign w:val="bottom"/>
            <w:hideMark/>
          </w:tcPr>
          <w:p w14:paraId="7A6F0084"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Celotna SI</w:t>
            </w:r>
          </w:p>
        </w:tc>
        <w:tc>
          <w:tcPr>
            <w:tcW w:w="1767" w:type="dxa"/>
            <w:shd w:val="clear" w:color="auto" w:fill="auto"/>
            <w:noWrap/>
            <w:vAlign w:val="bottom"/>
            <w:hideMark/>
          </w:tcPr>
          <w:p w14:paraId="0F73BB45"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284.140.000</w:t>
            </w:r>
          </w:p>
        </w:tc>
        <w:tc>
          <w:tcPr>
            <w:tcW w:w="3694" w:type="dxa"/>
            <w:shd w:val="clear" w:color="auto" w:fill="auto"/>
            <w:noWrap/>
            <w:vAlign w:val="bottom"/>
            <w:hideMark/>
          </w:tcPr>
          <w:p w14:paraId="65E40E85"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790DF6F4"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284.140.000</w:t>
            </w:r>
          </w:p>
        </w:tc>
        <w:tc>
          <w:tcPr>
            <w:tcW w:w="2680" w:type="dxa"/>
            <w:shd w:val="clear" w:color="auto" w:fill="auto"/>
            <w:noWrap/>
            <w:vAlign w:val="bottom"/>
            <w:hideMark/>
          </w:tcPr>
          <w:p w14:paraId="27C7EB66"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463D17A0" w14:textId="77777777" w:rsidTr="00680842">
        <w:trPr>
          <w:trHeight w:val="300"/>
        </w:trPr>
        <w:tc>
          <w:tcPr>
            <w:tcW w:w="423" w:type="dxa"/>
            <w:shd w:val="clear" w:color="auto" w:fill="auto"/>
            <w:noWrap/>
            <w:vAlign w:val="bottom"/>
            <w:hideMark/>
          </w:tcPr>
          <w:p w14:paraId="47A8655E" w14:textId="77777777" w:rsidR="00F545BB" w:rsidRPr="00986929" w:rsidRDefault="00F545BB"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5</w:t>
            </w:r>
          </w:p>
        </w:tc>
        <w:tc>
          <w:tcPr>
            <w:tcW w:w="1223" w:type="dxa"/>
            <w:shd w:val="clear" w:color="auto" w:fill="auto"/>
            <w:noWrap/>
            <w:vAlign w:val="bottom"/>
            <w:hideMark/>
          </w:tcPr>
          <w:p w14:paraId="2245A662" w14:textId="4624938E" w:rsidR="00F545BB" w:rsidRPr="00986929" w:rsidRDefault="00F545BB"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3.2</w:t>
            </w:r>
          </w:p>
        </w:tc>
        <w:tc>
          <w:tcPr>
            <w:tcW w:w="996" w:type="dxa"/>
            <w:shd w:val="clear" w:color="auto" w:fill="auto"/>
            <w:noWrap/>
            <w:vAlign w:val="bottom"/>
            <w:hideMark/>
          </w:tcPr>
          <w:p w14:paraId="650CD245" w14:textId="469F1B2B" w:rsidR="00F545BB" w:rsidRPr="00986929" w:rsidRDefault="00F545BB"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37EB84A6" w14:textId="5C603B13" w:rsidR="00F545BB" w:rsidRPr="00986929" w:rsidRDefault="00F545BB"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614C9724" w14:textId="5CD94285" w:rsidR="00F545BB" w:rsidRPr="00986929" w:rsidRDefault="00F545BB"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105.888.481</w:t>
            </w:r>
          </w:p>
        </w:tc>
        <w:tc>
          <w:tcPr>
            <w:tcW w:w="3694" w:type="dxa"/>
            <w:shd w:val="clear" w:color="auto" w:fill="auto"/>
            <w:noWrap/>
            <w:vAlign w:val="bottom"/>
            <w:hideMark/>
          </w:tcPr>
          <w:p w14:paraId="524F1AD1" w14:textId="61F99C29" w:rsidR="00F545BB" w:rsidRPr="00986929" w:rsidRDefault="00F545BB"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3FC49C7E" w14:textId="6034CE91" w:rsidR="00F545BB" w:rsidRPr="00986929" w:rsidRDefault="00F545BB"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105.888.481</w:t>
            </w:r>
          </w:p>
        </w:tc>
        <w:tc>
          <w:tcPr>
            <w:tcW w:w="2680" w:type="dxa"/>
            <w:shd w:val="clear" w:color="auto" w:fill="auto"/>
            <w:noWrap/>
            <w:vAlign w:val="bottom"/>
            <w:hideMark/>
          </w:tcPr>
          <w:p w14:paraId="74B45C12" w14:textId="4FEF1EBA" w:rsidR="00F545BB" w:rsidRPr="00986929" w:rsidRDefault="00F545BB"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2450464A" w14:textId="77777777" w:rsidTr="00680842">
        <w:trPr>
          <w:trHeight w:val="300"/>
        </w:trPr>
        <w:tc>
          <w:tcPr>
            <w:tcW w:w="423" w:type="dxa"/>
            <w:shd w:val="clear" w:color="auto" w:fill="auto"/>
            <w:noWrap/>
            <w:vAlign w:val="bottom"/>
            <w:hideMark/>
          </w:tcPr>
          <w:p w14:paraId="30C01CFC" w14:textId="77777777" w:rsidR="00F545BB" w:rsidRPr="00155B2A" w:rsidRDefault="00F545BB" w:rsidP="00F545BB">
            <w:pPr>
              <w:spacing w:after="0" w:line="240" w:lineRule="auto"/>
              <w:rPr>
                <w:rFonts w:eastAsia="Times New Roman" w:cs="Arial"/>
                <w:color w:val="000000"/>
                <w:kern w:val="0"/>
                <w:szCs w:val="20"/>
                <w:lang w:eastAsia="sl-SI"/>
                <w14:ligatures w14:val="none"/>
              </w:rPr>
            </w:pPr>
            <w:r w:rsidRPr="00155B2A">
              <w:rPr>
                <w:rFonts w:eastAsia="Times New Roman" w:cs="Arial"/>
                <w:color w:val="000000"/>
                <w:kern w:val="0"/>
                <w:szCs w:val="20"/>
                <w:lang w:eastAsia="sl-SI"/>
                <w14:ligatures w14:val="none"/>
              </w:rPr>
              <w:t>5</w:t>
            </w:r>
          </w:p>
        </w:tc>
        <w:tc>
          <w:tcPr>
            <w:tcW w:w="1223" w:type="dxa"/>
            <w:shd w:val="clear" w:color="auto" w:fill="auto"/>
            <w:noWrap/>
            <w:vAlign w:val="bottom"/>
            <w:hideMark/>
          </w:tcPr>
          <w:p w14:paraId="5524AA71" w14:textId="3583EB50" w:rsidR="00F545BB" w:rsidRPr="00155B2A" w:rsidRDefault="00F545BB" w:rsidP="00F545BB">
            <w:pPr>
              <w:spacing w:after="0" w:line="240" w:lineRule="auto"/>
              <w:rPr>
                <w:rFonts w:eastAsia="Times New Roman" w:cs="Arial"/>
                <w:color w:val="000000"/>
                <w:kern w:val="0"/>
                <w:szCs w:val="20"/>
                <w:lang w:eastAsia="sl-SI"/>
                <w14:ligatures w14:val="none"/>
              </w:rPr>
            </w:pPr>
            <w:r w:rsidRPr="00155B2A">
              <w:rPr>
                <w:rFonts w:eastAsia="Times New Roman" w:cs="Arial"/>
                <w:color w:val="000000"/>
                <w:kern w:val="0"/>
                <w:szCs w:val="20"/>
                <w:lang w:eastAsia="sl-SI"/>
                <w14:ligatures w14:val="none"/>
              </w:rPr>
              <w:t>RSO 3.2</w:t>
            </w:r>
          </w:p>
        </w:tc>
        <w:tc>
          <w:tcPr>
            <w:tcW w:w="996" w:type="dxa"/>
            <w:shd w:val="clear" w:color="auto" w:fill="auto"/>
            <w:noWrap/>
            <w:vAlign w:val="bottom"/>
            <w:hideMark/>
          </w:tcPr>
          <w:p w14:paraId="7AAB820C" w14:textId="601A3B74" w:rsidR="00F545BB" w:rsidRPr="00155B2A" w:rsidRDefault="00F545BB" w:rsidP="00F545BB">
            <w:pPr>
              <w:spacing w:after="0" w:line="240" w:lineRule="auto"/>
              <w:rPr>
                <w:rFonts w:eastAsia="Times New Roman" w:cs="Arial"/>
                <w:color w:val="000000"/>
                <w:kern w:val="0"/>
                <w:szCs w:val="20"/>
                <w:lang w:eastAsia="sl-SI"/>
                <w14:ligatures w14:val="none"/>
              </w:rPr>
            </w:pPr>
            <w:r w:rsidRPr="00155B2A">
              <w:rPr>
                <w:rFonts w:eastAsia="Times New Roman" w:cs="Arial"/>
                <w:color w:val="000000"/>
                <w:kern w:val="0"/>
                <w:szCs w:val="20"/>
                <w:lang w:eastAsia="sl-SI"/>
                <w14:ligatures w14:val="none"/>
              </w:rPr>
              <w:t>KS</w:t>
            </w:r>
          </w:p>
        </w:tc>
        <w:tc>
          <w:tcPr>
            <w:tcW w:w="970" w:type="dxa"/>
            <w:shd w:val="clear" w:color="auto" w:fill="auto"/>
            <w:noWrap/>
            <w:vAlign w:val="bottom"/>
            <w:hideMark/>
          </w:tcPr>
          <w:p w14:paraId="20A8EDC3" w14:textId="49287014" w:rsidR="00F545BB" w:rsidRPr="00155B2A" w:rsidRDefault="00F545BB" w:rsidP="00F545BB">
            <w:pPr>
              <w:spacing w:after="0" w:line="240" w:lineRule="auto"/>
              <w:rPr>
                <w:rFonts w:eastAsia="Times New Roman" w:cs="Arial"/>
                <w:color w:val="000000"/>
                <w:kern w:val="0"/>
                <w:szCs w:val="20"/>
                <w:lang w:eastAsia="sl-SI"/>
                <w14:ligatures w14:val="none"/>
              </w:rPr>
            </w:pPr>
            <w:r w:rsidRPr="00155B2A">
              <w:rPr>
                <w:rFonts w:eastAsia="Times New Roman" w:cs="Arial"/>
                <w:color w:val="000000"/>
                <w:kern w:val="0"/>
                <w:szCs w:val="20"/>
                <w:lang w:eastAsia="sl-SI"/>
                <w14:ligatures w14:val="none"/>
              </w:rPr>
              <w:t>Celotna SI</w:t>
            </w:r>
          </w:p>
        </w:tc>
        <w:tc>
          <w:tcPr>
            <w:tcW w:w="1767" w:type="dxa"/>
            <w:shd w:val="clear" w:color="auto" w:fill="auto"/>
            <w:noWrap/>
            <w:vAlign w:val="bottom"/>
            <w:hideMark/>
          </w:tcPr>
          <w:p w14:paraId="0BB61ECB" w14:textId="27728BB9" w:rsidR="00F545BB" w:rsidRPr="00155B2A" w:rsidRDefault="00F545BB" w:rsidP="00F545BB">
            <w:pPr>
              <w:spacing w:after="0" w:line="240" w:lineRule="auto"/>
              <w:jc w:val="right"/>
              <w:rPr>
                <w:rFonts w:eastAsia="Times New Roman" w:cs="Arial"/>
                <w:kern w:val="0"/>
                <w:szCs w:val="20"/>
                <w:lang w:eastAsia="sl-SI"/>
                <w14:ligatures w14:val="none"/>
              </w:rPr>
            </w:pPr>
            <w:r w:rsidRPr="00155B2A">
              <w:rPr>
                <w:rFonts w:eastAsia="Times New Roman" w:cs="Arial"/>
                <w:kern w:val="0"/>
                <w:szCs w:val="20"/>
                <w:lang w:eastAsia="sl-SI"/>
                <w14:ligatures w14:val="none"/>
              </w:rPr>
              <w:t>121.002.680</w:t>
            </w:r>
          </w:p>
        </w:tc>
        <w:tc>
          <w:tcPr>
            <w:tcW w:w="3694" w:type="dxa"/>
            <w:shd w:val="clear" w:color="auto" w:fill="auto"/>
            <w:noWrap/>
            <w:vAlign w:val="bottom"/>
            <w:hideMark/>
          </w:tcPr>
          <w:p w14:paraId="64C81A20" w14:textId="761C6EF7" w:rsidR="00F545BB" w:rsidRPr="00155B2A" w:rsidRDefault="00F545BB" w:rsidP="00F545BB">
            <w:pPr>
              <w:spacing w:after="0" w:line="240" w:lineRule="auto"/>
              <w:jc w:val="right"/>
              <w:rPr>
                <w:rFonts w:eastAsia="Times New Roman" w:cs="Arial"/>
                <w:kern w:val="0"/>
                <w:lang w:eastAsia="sl-SI"/>
                <w14:ligatures w14:val="none"/>
              </w:rPr>
            </w:pPr>
            <w:r w:rsidRPr="00155B2A">
              <w:rPr>
                <w:rFonts w:eastAsia="Times New Roman" w:cs="Arial"/>
                <w:kern w:val="0"/>
                <w:lang w:eastAsia="sl-SI"/>
                <w14:ligatures w14:val="none"/>
              </w:rPr>
              <w:t>-9.</w:t>
            </w:r>
            <w:r w:rsidR="5D83E6DD" w:rsidRPr="00155B2A" w:rsidDel="00A84C26">
              <w:rPr>
                <w:rFonts w:eastAsia="Times New Roman" w:cs="Arial"/>
                <w:kern w:val="0"/>
                <w:lang w:eastAsia="sl-SI"/>
                <w14:ligatures w14:val="none"/>
              </w:rPr>
              <w:t>69</w:t>
            </w:r>
            <w:r w:rsidR="0A17B5DD" w:rsidRPr="00155B2A" w:rsidDel="00A84C26">
              <w:rPr>
                <w:rFonts w:eastAsia="Times New Roman" w:cs="Arial"/>
                <w:kern w:val="0"/>
                <w:lang w:eastAsia="sl-SI"/>
                <w14:ligatures w14:val="none"/>
              </w:rPr>
              <w:t>0</w:t>
            </w:r>
            <w:r w:rsidRPr="00155B2A">
              <w:rPr>
                <w:rFonts w:eastAsia="Times New Roman" w:cs="Arial"/>
                <w:kern w:val="0"/>
                <w:lang w:eastAsia="sl-SI"/>
                <w14:ligatures w14:val="none"/>
              </w:rPr>
              <w:t>.00</w:t>
            </w:r>
            <w:r w:rsidRPr="00155B2A" w:rsidDel="00A84C26">
              <w:rPr>
                <w:rFonts w:eastAsia="Times New Roman" w:cs="Arial"/>
                <w:kern w:val="0"/>
                <w:lang w:eastAsia="sl-SI"/>
                <w14:ligatures w14:val="none"/>
              </w:rPr>
              <w:t>0</w:t>
            </w:r>
          </w:p>
        </w:tc>
        <w:tc>
          <w:tcPr>
            <w:tcW w:w="2239" w:type="dxa"/>
            <w:shd w:val="clear" w:color="auto" w:fill="auto"/>
            <w:noWrap/>
            <w:vAlign w:val="bottom"/>
            <w:hideMark/>
          </w:tcPr>
          <w:p w14:paraId="6B9F294B" w14:textId="7012B688" w:rsidR="00F545BB" w:rsidRPr="00155B2A" w:rsidRDefault="00F545BB" w:rsidP="00F545BB">
            <w:pPr>
              <w:spacing w:after="0" w:line="240" w:lineRule="auto"/>
              <w:jc w:val="right"/>
              <w:rPr>
                <w:rFonts w:eastAsia="Times New Roman" w:cs="Arial"/>
                <w:kern w:val="0"/>
                <w:szCs w:val="20"/>
                <w:lang w:eastAsia="sl-SI"/>
                <w14:ligatures w14:val="none"/>
              </w:rPr>
            </w:pPr>
            <w:r w:rsidRPr="00155B2A">
              <w:rPr>
                <w:rFonts w:eastAsia="Times New Roman" w:cs="Arial"/>
                <w:kern w:val="0"/>
                <w:szCs w:val="20"/>
                <w:lang w:eastAsia="sl-SI"/>
                <w14:ligatures w14:val="none"/>
              </w:rPr>
              <w:t>111.602.680</w:t>
            </w:r>
          </w:p>
        </w:tc>
        <w:tc>
          <w:tcPr>
            <w:tcW w:w="2680" w:type="dxa"/>
            <w:shd w:val="clear" w:color="auto" w:fill="auto"/>
            <w:noWrap/>
            <w:vAlign w:val="bottom"/>
            <w:hideMark/>
          </w:tcPr>
          <w:p w14:paraId="5400231F" w14:textId="027763E8" w:rsidR="00F545BB" w:rsidRPr="00155B2A" w:rsidRDefault="00F545BB" w:rsidP="00F545BB">
            <w:pPr>
              <w:spacing w:after="0" w:line="240" w:lineRule="auto"/>
              <w:rPr>
                <w:rFonts w:eastAsia="Times New Roman" w:cs="Arial"/>
                <w:color w:val="000000"/>
                <w:kern w:val="0"/>
                <w:szCs w:val="20"/>
                <w:lang w:eastAsia="sl-SI"/>
                <w14:ligatures w14:val="none"/>
              </w:rPr>
            </w:pPr>
            <w:r w:rsidRPr="00155B2A">
              <w:rPr>
                <w:rFonts w:eastAsia="Times New Roman" w:cs="Arial"/>
                <w:color w:val="000000"/>
                <w:kern w:val="0"/>
                <w:szCs w:val="20"/>
                <w:lang w:eastAsia="sl-SI"/>
                <w14:ligatures w14:val="none"/>
              </w:rPr>
              <w:t>Prenos iz Spodbujanje trajnostne mobilnosti na horizontalni ravni na NIO SOVIR</w:t>
            </w:r>
          </w:p>
        </w:tc>
      </w:tr>
      <w:tr w:rsidR="0022402B" w:rsidRPr="009A3BA8" w14:paraId="7B7AB60E" w14:textId="77777777" w:rsidTr="00680842">
        <w:trPr>
          <w:trHeight w:val="300"/>
        </w:trPr>
        <w:tc>
          <w:tcPr>
            <w:tcW w:w="423" w:type="dxa"/>
            <w:shd w:val="clear" w:color="auto" w:fill="auto"/>
            <w:noWrap/>
            <w:vAlign w:val="bottom"/>
            <w:hideMark/>
          </w:tcPr>
          <w:p w14:paraId="36A5392F" w14:textId="77777777" w:rsidR="00DE7CD9" w:rsidRPr="00155B2A" w:rsidRDefault="00DE7CD9" w:rsidP="00DE7CD9">
            <w:pPr>
              <w:spacing w:after="0" w:line="240" w:lineRule="auto"/>
              <w:rPr>
                <w:rFonts w:eastAsia="Times New Roman" w:cs="Arial"/>
                <w:color w:val="000000"/>
                <w:kern w:val="0"/>
                <w:szCs w:val="20"/>
                <w:lang w:eastAsia="sl-SI"/>
                <w14:ligatures w14:val="none"/>
              </w:rPr>
            </w:pPr>
            <w:bookmarkStart w:id="59" w:name="_Hlk191389440"/>
            <w:r w:rsidRPr="00155B2A">
              <w:rPr>
                <w:rFonts w:eastAsia="Times New Roman" w:cs="Arial"/>
                <w:color w:val="000000"/>
                <w:kern w:val="0"/>
                <w:szCs w:val="20"/>
                <w:lang w:eastAsia="sl-SI"/>
                <w14:ligatures w14:val="none"/>
              </w:rPr>
              <w:t>6</w:t>
            </w:r>
          </w:p>
        </w:tc>
        <w:tc>
          <w:tcPr>
            <w:tcW w:w="1223" w:type="dxa"/>
            <w:shd w:val="clear" w:color="auto" w:fill="auto"/>
            <w:noWrap/>
            <w:vAlign w:val="bottom"/>
            <w:hideMark/>
          </w:tcPr>
          <w:p w14:paraId="7B8F91AB" w14:textId="77777777" w:rsidR="00DE7CD9" w:rsidRPr="00155B2A" w:rsidRDefault="00DE7CD9" w:rsidP="00DE7CD9">
            <w:pPr>
              <w:spacing w:after="0" w:line="240" w:lineRule="auto"/>
              <w:rPr>
                <w:rFonts w:eastAsia="Times New Roman" w:cs="Arial"/>
                <w:color w:val="000000"/>
                <w:kern w:val="0"/>
                <w:lang w:eastAsia="sl-SI"/>
                <w14:ligatures w14:val="none"/>
              </w:rPr>
            </w:pPr>
            <w:r w:rsidRPr="00155B2A">
              <w:rPr>
                <w:rFonts w:eastAsia="Times New Roman" w:cs="Arial"/>
                <w:color w:val="000000"/>
                <w:kern w:val="0"/>
                <w:lang w:eastAsia="sl-SI"/>
                <w14:ligatures w14:val="none"/>
              </w:rPr>
              <w:t>ESO 4.1</w:t>
            </w:r>
          </w:p>
        </w:tc>
        <w:tc>
          <w:tcPr>
            <w:tcW w:w="996" w:type="dxa"/>
            <w:shd w:val="clear" w:color="auto" w:fill="auto"/>
            <w:noWrap/>
            <w:vAlign w:val="bottom"/>
            <w:hideMark/>
          </w:tcPr>
          <w:p w14:paraId="4DD445E8" w14:textId="77777777" w:rsidR="00DE7CD9" w:rsidRPr="00155B2A" w:rsidRDefault="00DE7CD9" w:rsidP="00DE7CD9">
            <w:pPr>
              <w:spacing w:after="0" w:line="240" w:lineRule="auto"/>
              <w:rPr>
                <w:rFonts w:eastAsia="Times New Roman" w:cs="Arial"/>
                <w:color w:val="000000"/>
                <w:kern w:val="0"/>
                <w:lang w:eastAsia="sl-SI"/>
                <w14:ligatures w14:val="none"/>
              </w:rPr>
            </w:pPr>
            <w:r w:rsidRPr="00155B2A">
              <w:rPr>
                <w:rFonts w:eastAsia="Times New Roman" w:cs="Arial"/>
                <w:color w:val="000000"/>
                <w:kern w:val="0"/>
                <w:lang w:eastAsia="sl-SI"/>
                <w14:ligatures w14:val="none"/>
              </w:rPr>
              <w:t>ESS+</w:t>
            </w:r>
          </w:p>
        </w:tc>
        <w:tc>
          <w:tcPr>
            <w:tcW w:w="970" w:type="dxa"/>
            <w:shd w:val="clear" w:color="auto" w:fill="auto"/>
            <w:noWrap/>
            <w:vAlign w:val="bottom"/>
            <w:hideMark/>
          </w:tcPr>
          <w:p w14:paraId="638AA7A0" w14:textId="77777777" w:rsidR="00DE7CD9" w:rsidRPr="00155B2A" w:rsidRDefault="00DE7CD9" w:rsidP="00DE7CD9">
            <w:pPr>
              <w:spacing w:after="0" w:line="240" w:lineRule="auto"/>
              <w:rPr>
                <w:rFonts w:eastAsia="Times New Roman" w:cs="Arial"/>
                <w:color w:val="000000"/>
                <w:kern w:val="0"/>
                <w:lang w:eastAsia="sl-SI"/>
                <w14:ligatures w14:val="none"/>
              </w:rPr>
            </w:pPr>
            <w:r w:rsidRPr="00155B2A">
              <w:rPr>
                <w:rFonts w:eastAsia="Times New Roman" w:cs="Arial"/>
                <w:color w:val="000000"/>
                <w:kern w:val="0"/>
                <w:lang w:eastAsia="sl-SI"/>
                <w14:ligatures w14:val="none"/>
              </w:rPr>
              <w:t>Vzhod</w:t>
            </w:r>
          </w:p>
        </w:tc>
        <w:tc>
          <w:tcPr>
            <w:tcW w:w="1767" w:type="dxa"/>
            <w:shd w:val="clear" w:color="auto" w:fill="auto"/>
            <w:noWrap/>
            <w:vAlign w:val="bottom"/>
            <w:hideMark/>
          </w:tcPr>
          <w:p w14:paraId="594D96DD" w14:textId="77777777" w:rsidR="00DE7CD9" w:rsidRPr="00155B2A" w:rsidRDefault="00DE7CD9" w:rsidP="00DE7CD9">
            <w:pPr>
              <w:spacing w:after="0" w:line="240" w:lineRule="auto"/>
              <w:jc w:val="right"/>
              <w:rPr>
                <w:rFonts w:eastAsia="Times New Roman" w:cs="Arial"/>
                <w:kern w:val="0"/>
                <w:lang w:eastAsia="sl-SI"/>
                <w14:ligatures w14:val="none"/>
              </w:rPr>
            </w:pPr>
            <w:r w:rsidRPr="00155B2A">
              <w:rPr>
                <w:rFonts w:eastAsia="Times New Roman" w:cs="Arial"/>
                <w:kern w:val="0"/>
                <w:lang w:eastAsia="sl-SI"/>
                <w14:ligatures w14:val="none"/>
              </w:rPr>
              <w:t>126.089.721</w:t>
            </w:r>
          </w:p>
        </w:tc>
        <w:tc>
          <w:tcPr>
            <w:tcW w:w="3694" w:type="dxa"/>
            <w:shd w:val="clear" w:color="auto" w:fill="auto"/>
            <w:noWrap/>
            <w:vAlign w:val="center"/>
            <w:hideMark/>
          </w:tcPr>
          <w:p w14:paraId="10A19227" w14:textId="521E475B" w:rsidR="00DE7CD9" w:rsidRPr="00155B2A" w:rsidRDefault="0DDDC019" w:rsidP="3BD993EA">
            <w:pPr>
              <w:spacing w:after="0" w:line="240" w:lineRule="auto"/>
              <w:jc w:val="right"/>
              <w:rPr>
                <w:rFonts w:eastAsia="Arial" w:cs="Arial"/>
              </w:rPr>
            </w:pPr>
            <w:r w:rsidRPr="00155B2A">
              <w:rPr>
                <w:rFonts w:cs="Arial"/>
              </w:rPr>
              <w:t>-33.972.521</w:t>
            </w:r>
          </w:p>
        </w:tc>
        <w:tc>
          <w:tcPr>
            <w:tcW w:w="2239" w:type="dxa"/>
            <w:shd w:val="clear" w:color="auto" w:fill="auto"/>
            <w:noWrap/>
            <w:vAlign w:val="center"/>
            <w:hideMark/>
          </w:tcPr>
          <w:p w14:paraId="21708AEE" w14:textId="2E925DCC" w:rsidR="00DE7CD9" w:rsidRPr="00155B2A" w:rsidRDefault="19DECC1D" w:rsidP="00DE7CD9">
            <w:pPr>
              <w:spacing w:after="0" w:line="240" w:lineRule="auto"/>
              <w:jc w:val="right"/>
              <w:rPr>
                <w:rFonts w:cs="Arial"/>
                <w:kern w:val="0"/>
                <w:lang w:eastAsia="sl-SI"/>
                <w14:ligatures w14:val="none"/>
              </w:rPr>
            </w:pPr>
            <w:r w:rsidRPr="00155B2A">
              <w:rPr>
                <w:rFonts w:cs="Arial"/>
              </w:rPr>
              <w:t>92.117.200</w:t>
            </w:r>
          </w:p>
        </w:tc>
        <w:tc>
          <w:tcPr>
            <w:tcW w:w="2680" w:type="dxa"/>
            <w:shd w:val="clear" w:color="auto" w:fill="auto"/>
            <w:noWrap/>
            <w:vAlign w:val="bottom"/>
            <w:hideMark/>
          </w:tcPr>
          <w:p w14:paraId="758E9F1B" w14:textId="5C109EAD" w:rsidR="00DE7CD9" w:rsidRPr="00155B2A" w:rsidRDefault="00DE7CD9" w:rsidP="00DE7CD9">
            <w:pPr>
              <w:spacing w:after="0" w:line="240" w:lineRule="auto"/>
              <w:rPr>
                <w:rFonts w:eastAsia="Times New Roman" w:cs="Arial"/>
                <w:color w:val="000000"/>
                <w:kern w:val="0"/>
                <w:lang w:eastAsia="sl-SI"/>
                <w14:ligatures w14:val="none"/>
              </w:rPr>
            </w:pPr>
            <w:r w:rsidRPr="00155B2A">
              <w:rPr>
                <w:rFonts w:eastAsia="Times New Roman" w:cs="Arial"/>
                <w:color w:val="000000"/>
                <w:kern w:val="0"/>
                <w:lang w:eastAsia="sl-SI"/>
                <w14:ligatures w14:val="none"/>
              </w:rPr>
              <w:t>Prenos znotraj CP4</w:t>
            </w:r>
          </w:p>
        </w:tc>
      </w:tr>
      <w:tr w:rsidR="0022402B" w:rsidRPr="009A3BA8" w14:paraId="0D466F2B" w14:textId="77777777" w:rsidTr="00680842">
        <w:trPr>
          <w:trHeight w:val="300"/>
        </w:trPr>
        <w:tc>
          <w:tcPr>
            <w:tcW w:w="423" w:type="dxa"/>
            <w:shd w:val="clear" w:color="auto" w:fill="auto"/>
            <w:noWrap/>
            <w:vAlign w:val="bottom"/>
            <w:hideMark/>
          </w:tcPr>
          <w:p w14:paraId="2DA742FA" w14:textId="77777777" w:rsidR="00DE7CD9" w:rsidRPr="00155B2A" w:rsidRDefault="00DE7CD9" w:rsidP="00DE7CD9">
            <w:pPr>
              <w:spacing w:after="0" w:line="240" w:lineRule="auto"/>
              <w:rPr>
                <w:rFonts w:eastAsia="Times New Roman" w:cs="Arial"/>
                <w:color w:val="000000"/>
                <w:kern w:val="0"/>
                <w:szCs w:val="20"/>
                <w:lang w:eastAsia="sl-SI"/>
                <w14:ligatures w14:val="none"/>
              </w:rPr>
            </w:pPr>
            <w:r w:rsidRPr="00155B2A">
              <w:rPr>
                <w:rFonts w:eastAsia="Times New Roman" w:cs="Arial"/>
                <w:color w:val="000000"/>
                <w:kern w:val="0"/>
                <w:szCs w:val="20"/>
                <w:lang w:eastAsia="sl-SI"/>
                <w14:ligatures w14:val="none"/>
              </w:rPr>
              <w:t>6</w:t>
            </w:r>
          </w:p>
        </w:tc>
        <w:tc>
          <w:tcPr>
            <w:tcW w:w="1223" w:type="dxa"/>
            <w:shd w:val="clear" w:color="auto" w:fill="auto"/>
            <w:noWrap/>
            <w:vAlign w:val="bottom"/>
            <w:hideMark/>
          </w:tcPr>
          <w:p w14:paraId="04C14F75" w14:textId="77777777" w:rsidR="00DE7CD9" w:rsidRPr="00155B2A" w:rsidRDefault="00DE7CD9" w:rsidP="00DE7CD9">
            <w:pPr>
              <w:spacing w:after="0" w:line="240" w:lineRule="auto"/>
              <w:rPr>
                <w:rFonts w:eastAsia="Times New Roman" w:cs="Arial"/>
                <w:color w:val="000000"/>
                <w:kern w:val="0"/>
                <w:lang w:eastAsia="sl-SI"/>
                <w14:ligatures w14:val="none"/>
              </w:rPr>
            </w:pPr>
            <w:r w:rsidRPr="00155B2A">
              <w:rPr>
                <w:rFonts w:eastAsia="Times New Roman" w:cs="Arial"/>
                <w:color w:val="000000"/>
                <w:kern w:val="0"/>
                <w:lang w:eastAsia="sl-SI"/>
                <w14:ligatures w14:val="none"/>
              </w:rPr>
              <w:t>ESO 4.1</w:t>
            </w:r>
          </w:p>
        </w:tc>
        <w:tc>
          <w:tcPr>
            <w:tcW w:w="996" w:type="dxa"/>
            <w:shd w:val="clear" w:color="auto" w:fill="auto"/>
            <w:noWrap/>
            <w:vAlign w:val="bottom"/>
            <w:hideMark/>
          </w:tcPr>
          <w:p w14:paraId="0711FECB" w14:textId="77777777" w:rsidR="00DE7CD9" w:rsidRPr="00155B2A" w:rsidRDefault="00DE7CD9" w:rsidP="00DE7CD9">
            <w:pPr>
              <w:spacing w:after="0" w:line="240" w:lineRule="auto"/>
              <w:rPr>
                <w:rFonts w:eastAsia="Times New Roman" w:cs="Arial"/>
                <w:color w:val="000000"/>
                <w:kern w:val="0"/>
                <w:lang w:eastAsia="sl-SI"/>
                <w14:ligatures w14:val="none"/>
              </w:rPr>
            </w:pPr>
            <w:r w:rsidRPr="00155B2A">
              <w:rPr>
                <w:rFonts w:eastAsia="Times New Roman" w:cs="Arial"/>
                <w:color w:val="000000"/>
                <w:kern w:val="0"/>
                <w:lang w:eastAsia="sl-SI"/>
                <w14:ligatures w14:val="none"/>
              </w:rPr>
              <w:t>ESS+</w:t>
            </w:r>
          </w:p>
        </w:tc>
        <w:tc>
          <w:tcPr>
            <w:tcW w:w="970" w:type="dxa"/>
            <w:shd w:val="clear" w:color="auto" w:fill="auto"/>
            <w:noWrap/>
            <w:vAlign w:val="bottom"/>
            <w:hideMark/>
          </w:tcPr>
          <w:p w14:paraId="58686991" w14:textId="77777777" w:rsidR="00DE7CD9" w:rsidRPr="00155B2A" w:rsidRDefault="00DE7CD9" w:rsidP="00DE7CD9">
            <w:pPr>
              <w:spacing w:after="0" w:line="240" w:lineRule="auto"/>
              <w:rPr>
                <w:rFonts w:eastAsia="Times New Roman" w:cs="Arial"/>
                <w:color w:val="000000"/>
                <w:kern w:val="0"/>
                <w:lang w:eastAsia="sl-SI"/>
                <w14:ligatures w14:val="none"/>
              </w:rPr>
            </w:pPr>
            <w:r w:rsidRPr="00155B2A">
              <w:rPr>
                <w:rFonts w:eastAsia="Times New Roman" w:cs="Arial"/>
                <w:color w:val="000000"/>
                <w:kern w:val="0"/>
                <w:lang w:eastAsia="sl-SI"/>
                <w14:ligatures w14:val="none"/>
              </w:rPr>
              <w:t>Zahod</w:t>
            </w:r>
          </w:p>
        </w:tc>
        <w:tc>
          <w:tcPr>
            <w:tcW w:w="1767" w:type="dxa"/>
            <w:shd w:val="clear" w:color="auto" w:fill="auto"/>
            <w:noWrap/>
            <w:vAlign w:val="bottom"/>
            <w:hideMark/>
          </w:tcPr>
          <w:p w14:paraId="38A6C5E1" w14:textId="77777777" w:rsidR="00DE7CD9" w:rsidRPr="00155B2A" w:rsidRDefault="00DE7CD9" w:rsidP="00DE7CD9">
            <w:pPr>
              <w:spacing w:after="0" w:line="240" w:lineRule="auto"/>
              <w:jc w:val="right"/>
              <w:rPr>
                <w:rFonts w:eastAsia="Times New Roman" w:cs="Arial"/>
                <w:kern w:val="0"/>
                <w:lang w:eastAsia="sl-SI"/>
                <w14:ligatures w14:val="none"/>
              </w:rPr>
            </w:pPr>
            <w:r w:rsidRPr="00155B2A">
              <w:rPr>
                <w:rFonts w:eastAsia="Times New Roman" w:cs="Arial"/>
                <w:kern w:val="0"/>
                <w:lang w:eastAsia="sl-SI"/>
                <w14:ligatures w14:val="none"/>
              </w:rPr>
              <w:t>17.879.783</w:t>
            </w:r>
          </w:p>
        </w:tc>
        <w:tc>
          <w:tcPr>
            <w:tcW w:w="3694" w:type="dxa"/>
            <w:shd w:val="clear" w:color="auto" w:fill="auto"/>
            <w:noWrap/>
            <w:vAlign w:val="bottom"/>
            <w:hideMark/>
          </w:tcPr>
          <w:p w14:paraId="71021949" w14:textId="65BE7BA9" w:rsidR="00DE7CD9" w:rsidRPr="00155B2A" w:rsidRDefault="00DE7CD9" w:rsidP="00DE7CD9">
            <w:pPr>
              <w:spacing w:after="0" w:line="240" w:lineRule="auto"/>
              <w:jc w:val="right"/>
              <w:rPr>
                <w:rFonts w:eastAsia="Times New Roman" w:cs="Arial"/>
                <w:kern w:val="0"/>
                <w:lang w:eastAsia="sl-SI"/>
                <w14:ligatures w14:val="none"/>
              </w:rPr>
            </w:pPr>
          </w:p>
        </w:tc>
        <w:tc>
          <w:tcPr>
            <w:tcW w:w="2239" w:type="dxa"/>
            <w:shd w:val="clear" w:color="auto" w:fill="auto"/>
            <w:noWrap/>
            <w:vAlign w:val="center"/>
            <w:hideMark/>
          </w:tcPr>
          <w:p w14:paraId="7890E979" w14:textId="0716E92E" w:rsidR="00DE7CD9" w:rsidRPr="00155B2A" w:rsidRDefault="00016F59" w:rsidP="00DE7CD9">
            <w:pPr>
              <w:spacing w:after="0" w:line="240" w:lineRule="auto"/>
              <w:jc w:val="right"/>
              <w:rPr>
                <w:rFonts w:eastAsia="Times New Roman" w:cs="Arial"/>
                <w:kern w:val="0"/>
                <w:lang w:eastAsia="sl-SI"/>
                <w14:ligatures w14:val="none"/>
              </w:rPr>
            </w:pPr>
            <w:r w:rsidRPr="00155B2A">
              <w:rPr>
                <w:rFonts w:eastAsia="Times New Roman" w:cs="Arial"/>
                <w:kern w:val="0"/>
                <w:lang w:eastAsia="sl-SI"/>
                <w14:ligatures w14:val="none"/>
              </w:rPr>
              <w:t>17.879.783</w:t>
            </w:r>
          </w:p>
        </w:tc>
        <w:tc>
          <w:tcPr>
            <w:tcW w:w="2680" w:type="dxa"/>
            <w:shd w:val="clear" w:color="auto" w:fill="auto"/>
            <w:noWrap/>
            <w:vAlign w:val="bottom"/>
            <w:hideMark/>
          </w:tcPr>
          <w:p w14:paraId="6A59ACC8" w14:textId="68305573" w:rsidR="00DE7CD9" w:rsidRPr="00155B2A" w:rsidRDefault="00DE7CD9" w:rsidP="00DE7CD9">
            <w:pPr>
              <w:spacing w:after="0" w:line="240" w:lineRule="auto"/>
              <w:rPr>
                <w:rFonts w:eastAsia="Times New Roman" w:cs="Arial"/>
                <w:color w:val="000000"/>
                <w:kern w:val="0"/>
                <w:lang w:eastAsia="sl-SI"/>
                <w14:ligatures w14:val="none"/>
              </w:rPr>
            </w:pPr>
          </w:p>
        </w:tc>
      </w:tr>
      <w:tr w:rsidR="0022402B" w:rsidRPr="009A3BA8" w14:paraId="1F53CE30" w14:textId="77777777" w:rsidTr="00801804">
        <w:trPr>
          <w:trHeight w:val="300"/>
        </w:trPr>
        <w:tc>
          <w:tcPr>
            <w:tcW w:w="423" w:type="dxa"/>
            <w:shd w:val="clear" w:color="auto" w:fill="auto"/>
            <w:noWrap/>
            <w:hideMark/>
          </w:tcPr>
          <w:p w14:paraId="6223776C" w14:textId="2B467C0A" w:rsidR="00AE56C1" w:rsidRPr="00155B2A" w:rsidRDefault="00AE56C1" w:rsidP="00AE56C1">
            <w:pPr>
              <w:spacing w:after="0" w:line="240" w:lineRule="auto"/>
              <w:rPr>
                <w:rFonts w:eastAsia="Times New Roman" w:cs="Arial"/>
                <w:color w:val="000000"/>
                <w:kern w:val="0"/>
                <w:szCs w:val="20"/>
                <w:lang w:eastAsia="sl-SI"/>
                <w14:ligatures w14:val="none"/>
              </w:rPr>
            </w:pPr>
            <w:r w:rsidRPr="00155B2A">
              <w:t>6</w:t>
            </w:r>
          </w:p>
        </w:tc>
        <w:tc>
          <w:tcPr>
            <w:tcW w:w="1223" w:type="dxa"/>
            <w:shd w:val="clear" w:color="auto" w:fill="auto"/>
            <w:noWrap/>
            <w:hideMark/>
          </w:tcPr>
          <w:p w14:paraId="05A949EC" w14:textId="1726F360" w:rsidR="00AE56C1" w:rsidRPr="00155B2A" w:rsidRDefault="00AE56C1" w:rsidP="00AE56C1">
            <w:pPr>
              <w:spacing w:after="0" w:line="240" w:lineRule="auto"/>
              <w:rPr>
                <w:rFonts w:eastAsia="Times New Roman" w:cs="Arial"/>
                <w:color w:val="000000"/>
                <w:kern w:val="0"/>
                <w:szCs w:val="20"/>
                <w:lang w:eastAsia="sl-SI"/>
                <w14:ligatures w14:val="none"/>
              </w:rPr>
            </w:pPr>
            <w:r w:rsidRPr="00155B2A">
              <w:t>ESO 4.2</w:t>
            </w:r>
          </w:p>
        </w:tc>
        <w:tc>
          <w:tcPr>
            <w:tcW w:w="996" w:type="dxa"/>
            <w:shd w:val="clear" w:color="auto" w:fill="auto"/>
            <w:noWrap/>
            <w:hideMark/>
          </w:tcPr>
          <w:p w14:paraId="4A85947D" w14:textId="368A07D9" w:rsidR="00AE56C1" w:rsidRPr="00155B2A" w:rsidRDefault="00AE56C1" w:rsidP="00AE56C1">
            <w:pPr>
              <w:spacing w:after="0" w:line="240" w:lineRule="auto"/>
              <w:rPr>
                <w:rFonts w:eastAsia="Times New Roman" w:cs="Arial"/>
                <w:color w:val="000000"/>
                <w:kern w:val="0"/>
                <w:szCs w:val="20"/>
                <w:lang w:eastAsia="sl-SI"/>
                <w14:ligatures w14:val="none"/>
              </w:rPr>
            </w:pPr>
            <w:r w:rsidRPr="00155B2A">
              <w:t>ESS+</w:t>
            </w:r>
          </w:p>
        </w:tc>
        <w:tc>
          <w:tcPr>
            <w:tcW w:w="970" w:type="dxa"/>
            <w:shd w:val="clear" w:color="auto" w:fill="auto"/>
            <w:noWrap/>
            <w:hideMark/>
          </w:tcPr>
          <w:p w14:paraId="019E4A45" w14:textId="29AFF6B1" w:rsidR="00AE56C1" w:rsidRPr="00155B2A" w:rsidRDefault="00AE56C1" w:rsidP="00AE56C1">
            <w:pPr>
              <w:spacing w:after="0" w:line="240" w:lineRule="auto"/>
              <w:rPr>
                <w:rFonts w:eastAsia="Times New Roman" w:cs="Arial"/>
                <w:color w:val="000000"/>
                <w:kern w:val="0"/>
                <w:szCs w:val="20"/>
                <w:lang w:eastAsia="sl-SI"/>
                <w14:ligatures w14:val="none"/>
              </w:rPr>
            </w:pPr>
            <w:r w:rsidRPr="00155B2A">
              <w:t>Vzhod</w:t>
            </w:r>
          </w:p>
        </w:tc>
        <w:tc>
          <w:tcPr>
            <w:tcW w:w="1767" w:type="dxa"/>
            <w:shd w:val="clear" w:color="auto" w:fill="auto"/>
            <w:noWrap/>
            <w:hideMark/>
          </w:tcPr>
          <w:p w14:paraId="3093D7CA" w14:textId="7C32D618" w:rsidR="00AE56C1" w:rsidRPr="00155B2A" w:rsidRDefault="00AE56C1" w:rsidP="00AE56C1">
            <w:pPr>
              <w:spacing w:after="0" w:line="240" w:lineRule="auto"/>
              <w:jc w:val="right"/>
              <w:rPr>
                <w:rFonts w:eastAsia="Times New Roman" w:cs="Arial"/>
                <w:kern w:val="0"/>
                <w:szCs w:val="20"/>
                <w:lang w:eastAsia="sl-SI"/>
                <w14:ligatures w14:val="none"/>
              </w:rPr>
            </w:pPr>
            <w:r w:rsidRPr="00155B2A">
              <w:t>17.640.000</w:t>
            </w:r>
          </w:p>
        </w:tc>
        <w:tc>
          <w:tcPr>
            <w:tcW w:w="3694" w:type="dxa"/>
            <w:shd w:val="clear" w:color="auto" w:fill="auto"/>
            <w:noWrap/>
          </w:tcPr>
          <w:p w14:paraId="32CA25FE" w14:textId="019DCD97" w:rsidR="00AE56C1" w:rsidRPr="00155B2A" w:rsidRDefault="00801804" w:rsidP="00AE56C1">
            <w:pPr>
              <w:spacing w:after="0" w:line="240" w:lineRule="auto"/>
              <w:jc w:val="right"/>
              <w:rPr>
                <w:rFonts w:eastAsia="Times New Roman" w:cs="Arial"/>
                <w:kern w:val="0"/>
                <w:lang w:eastAsia="sl-SI"/>
                <w14:ligatures w14:val="none"/>
              </w:rPr>
            </w:pPr>
            <w:r>
              <w:rPr>
                <w:rFonts w:eastAsia="Times New Roman" w:cs="Arial"/>
                <w:kern w:val="0"/>
                <w:lang w:eastAsia="sl-SI"/>
                <w14:ligatures w14:val="none"/>
              </w:rPr>
              <w:t>6.819.161</w:t>
            </w:r>
          </w:p>
        </w:tc>
        <w:tc>
          <w:tcPr>
            <w:tcW w:w="2239" w:type="dxa"/>
            <w:shd w:val="clear" w:color="auto" w:fill="auto"/>
            <w:noWrap/>
          </w:tcPr>
          <w:p w14:paraId="10205CCD" w14:textId="364B51CB" w:rsidR="00AE56C1" w:rsidRPr="00155B2A" w:rsidRDefault="00801804" w:rsidP="00AE56C1">
            <w:pPr>
              <w:spacing w:after="0" w:line="240" w:lineRule="auto"/>
              <w:jc w:val="right"/>
              <w:rPr>
                <w:rFonts w:eastAsia="Times New Roman" w:cs="Arial"/>
                <w:kern w:val="0"/>
                <w:szCs w:val="20"/>
                <w:lang w:eastAsia="sl-SI"/>
                <w14:ligatures w14:val="none"/>
              </w:rPr>
            </w:pPr>
            <w:r>
              <w:rPr>
                <w:rFonts w:eastAsia="Times New Roman" w:cs="Arial"/>
                <w:kern w:val="0"/>
                <w:szCs w:val="20"/>
                <w:lang w:eastAsia="sl-SI"/>
                <w14:ligatures w14:val="none"/>
              </w:rPr>
              <w:t>24.459.161</w:t>
            </w:r>
          </w:p>
        </w:tc>
        <w:tc>
          <w:tcPr>
            <w:tcW w:w="2680" w:type="dxa"/>
            <w:shd w:val="clear" w:color="auto" w:fill="auto"/>
            <w:noWrap/>
            <w:vAlign w:val="bottom"/>
            <w:hideMark/>
          </w:tcPr>
          <w:p w14:paraId="4494E64C" w14:textId="79645822" w:rsidR="00AE56C1" w:rsidRPr="00155B2A" w:rsidRDefault="72C85559" w:rsidP="00AE56C1">
            <w:pPr>
              <w:spacing w:after="0" w:line="240" w:lineRule="auto"/>
              <w:rPr>
                <w:rFonts w:eastAsia="Times New Roman" w:cs="Arial"/>
                <w:color w:val="000000"/>
                <w:kern w:val="0"/>
                <w:lang w:eastAsia="sl-SI"/>
                <w14:ligatures w14:val="none"/>
              </w:rPr>
            </w:pPr>
            <w:r w:rsidRPr="00155B2A">
              <w:rPr>
                <w:rFonts w:eastAsia="Times New Roman" w:cs="Arial"/>
                <w:color w:val="000000" w:themeColor="text1"/>
                <w:lang w:eastAsia="sl-SI"/>
              </w:rPr>
              <w:t>Umestitev ukrepov MDDSZ</w:t>
            </w:r>
          </w:p>
        </w:tc>
      </w:tr>
      <w:tr w:rsidR="0022402B" w:rsidRPr="009A3BA8" w14:paraId="0304972E" w14:textId="77777777" w:rsidTr="00680842">
        <w:trPr>
          <w:trHeight w:val="300"/>
        </w:trPr>
        <w:tc>
          <w:tcPr>
            <w:tcW w:w="423" w:type="dxa"/>
            <w:shd w:val="clear" w:color="auto" w:fill="auto"/>
            <w:noWrap/>
            <w:hideMark/>
          </w:tcPr>
          <w:p w14:paraId="6D19B7B0" w14:textId="54B054CC" w:rsidR="00AE56C1" w:rsidRPr="00155B2A" w:rsidRDefault="00AE56C1" w:rsidP="00AE56C1">
            <w:pPr>
              <w:spacing w:after="0" w:line="240" w:lineRule="auto"/>
              <w:rPr>
                <w:rFonts w:eastAsia="Times New Roman" w:cs="Arial"/>
                <w:color w:val="000000"/>
                <w:kern w:val="0"/>
                <w:szCs w:val="20"/>
                <w:lang w:eastAsia="sl-SI"/>
                <w14:ligatures w14:val="none"/>
              </w:rPr>
            </w:pPr>
            <w:r w:rsidRPr="00155B2A">
              <w:t>6</w:t>
            </w:r>
          </w:p>
        </w:tc>
        <w:tc>
          <w:tcPr>
            <w:tcW w:w="1223" w:type="dxa"/>
            <w:shd w:val="clear" w:color="auto" w:fill="auto"/>
            <w:noWrap/>
            <w:hideMark/>
          </w:tcPr>
          <w:p w14:paraId="0EA8DA3E" w14:textId="48769F19" w:rsidR="00AE56C1" w:rsidRPr="00155B2A" w:rsidRDefault="00AE56C1" w:rsidP="00AE56C1">
            <w:pPr>
              <w:spacing w:after="0" w:line="240" w:lineRule="auto"/>
              <w:rPr>
                <w:rFonts w:eastAsia="Times New Roman" w:cs="Arial"/>
                <w:color w:val="000000"/>
                <w:kern w:val="0"/>
                <w:szCs w:val="20"/>
                <w:lang w:eastAsia="sl-SI"/>
                <w14:ligatures w14:val="none"/>
              </w:rPr>
            </w:pPr>
            <w:r w:rsidRPr="00155B2A">
              <w:t>ESO 4.2</w:t>
            </w:r>
          </w:p>
        </w:tc>
        <w:tc>
          <w:tcPr>
            <w:tcW w:w="996" w:type="dxa"/>
            <w:shd w:val="clear" w:color="auto" w:fill="auto"/>
            <w:noWrap/>
            <w:hideMark/>
          </w:tcPr>
          <w:p w14:paraId="7EC94760" w14:textId="01B1AE60" w:rsidR="00AE56C1" w:rsidRPr="00155B2A" w:rsidRDefault="00AE56C1" w:rsidP="00AE56C1">
            <w:pPr>
              <w:spacing w:after="0" w:line="240" w:lineRule="auto"/>
              <w:rPr>
                <w:rFonts w:eastAsia="Times New Roman" w:cs="Arial"/>
                <w:color w:val="000000"/>
                <w:kern w:val="0"/>
                <w:szCs w:val="20"/>
                <w:lang w:eastAsia="sl-SI"/>
                <w14:ligatures w14:val="none"/>
              </w:rPr>
            </w:pPr>
            <w:r w:rsidRPr="00155B2A">
              <w:t>ESS+</w:t>
            </w:r>
          </w:p>
        </w:tc>
        <w:tc>
          <w:tcPr>
            <w:tcW w:w="970" w:type="dxa"/>
            <w:shd w:val="clear" w:color="auto" w:fill="auto"/>
            <w:noWrap/>
            <w:hideMark/>
          </w:tcPr>
          <w:p w14:paraId="0AC41953" w14:textId="4B44405B" w:rsidR="00AE56C1" w:rsidRPr="00155B2A" w:rsidRDefault="00AE56C1" w:rsidP="00AE56C1">
            <w:pPr>
              <w:spacing w:after="0" w:line="240" w:lineRule="auto"/>
              <w:rPr>
                <w:rFonts w:eastAsia="Times New Roman" w:cs="Arial"/>
                <w:color w:val="000000"/>
                <w:kern w:val="0"/>
                <w:szCs w:val="20"/>
                <w:lang w:eastAsia="sl-SI"/>
                <w14:ligatures w14:val="none"/>
              </w:rPr>
            </w:pPr>
            <w:r w:rsidRPr="00155B2A">
              <w:t>Zahod</w:t>
            </w:r>
          </w:p>
        </w:tc>
        <w:tc>
          <w:tcPr>
            <w:tcW w:w="1767" w:type="dxa"/>
            <w:shd w:val="clear" w:color="auto" w:fill="auto"/>
            <w:noWrap/>
            <w:hideMark/>
          </w:tcPr>
          <w:p w14:paraId="200C4AEA" w14:textId="1D2F3F30" w:rsidR="00AE56C1" w:rsidRPr="00155B2A" w:rsidRDefault="00AE56C1" w:rsidP="00AE56C1">
            <w:pPr>
              <w:spacing w:after="0" w:line="240" w:lineRule="auto"/>
              <w:jc w:val="right"/>
              <w:rPr>
                <w:rFonts w:eastAsia="Times New Roman" w:cs="Arial"/>
                <w:kern w:val="0"/>
                <w:szCs w:val="20"/>
                <w:lang w:eastAsia="sl-SI"/>
                <w14:ligatures w14:val="none"/>
              </w:rPr>
            </w:pPr>
            <w:r w:rsidRPr="00155B2A">
              <w:t>6.370.000</w:t>
            </w:r>
          </w:p>
        </w:tc>
        <w:tc>
          <w:tcPr>
            <w:tcW w:w="3694" w:type="dxa"/>
            <w:shd w:val="clear" w:color="auto" w:fill="auto"/>
            <w:noWrap/>
            <w:hideMark/>
          </w:tcPr>
          <w:p w14:paraId="12A2AA9C" w14:textId="22A24A2B" w:rsidR="00AE56C1" w:rsidRPr="00155B2A" w:rsidRDefault="00AE56C1" w:rsidP="00AE56C1">
            <w:pPr>
              <w:spacing w:after="0" w:line="240" w:lineRule="auto"/>
              <w:jc w:val="right"/>
              <w:rPr>
                <w:rFonts w:eastAsia="Times New Roman" w:cs="Arial"/>
                <w:kern w:val="0"/>
                <w:szCs w:val="20"/>
                <w:lang w:eastAsia="sl-SI"/>
                <w14:ligatures w14:val="none"/>
              </w:rPr>
            </w:pPr>
            <w:r w:rsidRPr="00155B2A">
              <w:t xml:space="preserve"> </w:t>
            </w:r>
          </w:p>
        </w:tc>
        <w:tc>
          <w:tcPr>
            <w:tcW w:w="2239" w:type="dxa"/>
            <w:shd w:val="clear" w:color="auto" w:fill="auto"/>
            <w:noWrap/>
            <w:hideMark/>
          </w:tcPr>
          <w:p w14:paraId="0577CD9C" w14:textId="01AA8E53" w:rsidR="00AE56C1" w:rsidRPr="00155B2A" w:rsidRDefault="00016F59" w:rsidP="14EAAC8F">
            <w:pPr>
              <w:spacing w:after="0" w:line="240" w:lineRule="auto"/>
              <w:jc w:val="right"/>
              <w:rPr>
                <w:rFonts w:eastAsia="Times New Roman" w:cs="Arial"/>
                <w:kern w:val="0"/>
                <w:lang w:eastAsia="sl-SI"/>
                <w14:ligatures w14:val="none"/>
              </w:rPr>
            </w:pPr>
            <w:r w:rsidRPr="00155B2A">
              <w:t>6.370.000</w:t>
            </w:r>
          </w:p>
        </w:tc>
        <w:tc>
          <w:tcPr>
            <w:tcW w:w="2680" w:type="dxa"/>
            <w:shd w:val="clear" w:color="auto" w:fill="auto"/>
            <w:noWrap/>
            <w:vAlign w:val="bottom"/>
            <w:hideMark/>
          </w:tcPr>
          <w:p w14:paraId="60179038" w14:textId="01D2DB2F" w:rsidR="00AE56C1" w:rsidRPr="00155B2A" w:rsidRDefault="00AE56C1" w:rsidP="00AE56C1">
            <w:pPr>
              <w:spacing w:after="0" w:line="240" w:lineRule="auto"/>
              <w:rPr>
                <w:rFonts w:eastAsia="Times New Roman" w:cs="Arial"/>
                <w:color w:val="000000"/>
                <w:kern w:val="0"/>
                <w:szCs w:val="20"/>
                <w:lang w:eastAsia="sl-SI"/>
                <w14:ligatures w14:val="none"/>
              </w:rPr>
            </w:pPr>
          </w:p>
        </w:tc>
      </w:tr>
      <w:tr w:rsidR="0022402B" w:rsidRPr="009A3BA8" w14:paraId="7AF2F217" w14:textId="77777777" w:rsidTr="00801804">
        <w:trPr>
          <w:trHeight w:val="300"/>
        </w:trPr>
        <w:tc>
          <w:tcPr>
            <w:tcW w:w="423" w:type="dxa"/>
            <w:shd w:val="clear" w:color="auto" w:fill="auto"/>
            <w:noWrap/>
            <w:hideMark/>
          </w:tcPr>
          <w:p w14:paraId="6228633A" w14:textId="20DCA332" w:rsidR="00AE56C1" w:rsidRPr="00155B2A" w:rsidRDefault="00AE56C1" w:rsidP="00AE56C1">
            <w:pPr>
              <w:spacing w:after="0" w:line="240" w:lineRule="auto"/>
              <w:rPr>
                <w:rFonts w:eastAsia="Times New Roman" w:cs="Arial"/>
                <w:color w:val="000000"/>
                <w:kern w:val="0"/>
                <w:szCs w:val="20"/>
                <w:lang w:eastAsia="sl-SI"/>
                <w14:ligatures w14:val="none"/>
              </w:rPr>
            </w:pPr>
            <w:r w:rsidRPr="00155B2A">
              <w:t>6</w:t>
            </w:r>
          </w:p>
        </w:tc>
        <w:tc>
          <w:tcPr>
            <w:tcW w:w="1223" w:type="dxa"/>
            <w:shd w:val="clear" w:color="auto" w:fill="auto"/>
            <w:noWrap/>
            <w:hideMark/>
          </w:tcPr>
          <w:p w14:paraId="427385A9" w14:textId="4339A060" w:rsidR="00AE56C1" w:rsidRPr="00155B2A" w:rsidRDefault="00AE56C1" w:rsidP="00AE56C1">
            <w:pPr>
              <w:spacing w:after="0" w:line="240" w:lineRule="auto"/>
              <w:rPr>
                <w:rFonts w:eastAsia="Times New Roman" w:cs="Arial"/>
                <w:color w:val="000000"/>
                <w:kern w:val="0"/>
                <w:szCs w:val="20"/>
                <w:lang w:eastAsia="sl-SI"/>
                <w14:ligatures w14:val="none"/>
              </w:rPr>
            </w:pPr>
            <w:r w:rsidRPr="00155B2A">
              <w:t>ESO 4.4</w:t>
            </w:r>
          </w:p>
        </w:tc>
        <w:tc>
          <w:tcPr>
            <w:tcW w:w="996" w:type="dxa"/>
            <w:shd w:val="clear" w:color="auto" w:fill="auto"/>
            <w:noWrap/>
            <w:hideMark/>
          </w:tcPr>
          <w:p w14:paraId="64DB69DA" w14:textId="30AD1D2A" w:rsidR="00AE56C1" w:rsidRPr="00155B2A" w:rsidRDefault="00AE56C1" w:rsidP="00AE56C1">
            <w:pPr>
              <w:spacing w:after="0" w:line="240" w:lineRule="auto"/>
              <w:rPr>
                <w:rFonts w:eastAsia="Times New Roman" w:cs="Arial"/>
                <w:color w:val="000000"/>
                <w:kern w:val="0"/>
                <w:szCs w:val="20"/>
                <w:lang w:eastAsia="sl-SI"/>
                <w14:ligatures w14:val="none"/>
              </w:rPr>
            </w:pPr>
            <w:r w:rsidRPr="00155B2A">
              <w:t>ESS+</w:t>
            </w:r>
          </w:p>
        </w:tc>
        <w:tc>
          <w:tcPr>
            <w:tcW w:w="970" w:type="dxa"/>
            <w:shd w:val="clear" w:color="auto" w:fill="auto"/>
            <w:noWrap/>
            <w:hideMark/>
          </w:tcPr>
          <w:p w14:paraId="5078B8A5" w14:textId="7092F55D" w:rsidR="00AE56C1" w:rsidRPr="00155B2A" w:rsidRDefault="00AE56C1" w:rsidP="00AE56C1">
            <w:pPr>
              <w:spacing w:after="0" w:line="240" w:lineRule="auto"/>
              <w:rPr>
                <w:rFonts w:eastAsia="Times New Roman" w:cs="Arial"/>
                <w:color w:val="000000"/>
                <w:kern w:val="0"/>
                <w:szCs w:val="20"/>
                <w:lang w:eastAsia="sl-SI"/>
                <w14:ligatures w14:val="none"/>
              </w:rPr>
            </w:pPr>
            <w:r w:rsidRPr="00155B2A">
              <w:t>Vzhod</w:t>
            </w:r>
          </w:p>
        </w:tc>
        <w:tc>
          <w:tcPr>
            <w:tcW w:w="1767" w:type="dxa"/>
            <w:shd w:val="clear" w:color="auto" w:fill="auto"/>
            <w:noWrap/>
            <w:hideMark/>
          </w:tcPr>
          <w:p w14:paraId="425073B9" w14:textId="2176A320" w:rsidR="00AE56C1" w:rsidRPr="00155B2A" w:rsidRDefault="00AE56C1" w:rsidP="00AE56C1">
            <w:pPr>
              <w:spacing w:after="0" w:line="240" w:lineRule="auto"/>
              <w:jc w:val="right"/>
              <w:rPr>
                <w:rFonts w:eastAsia="Times New Roman" w:cs="Arial"/>
                <w:kern w:val="0"/>
                <w:szCs w:val="20"/>
                <w:lang w:eastAsia="sl-SI"/>
                <w14:ligatures w14:val="none"/>
              </w:rPr>
            </w:pPr>
            <w:r w:rsidRPr="00155B2A">
              <w:t>23.692.000</w:t>
            </w:r>
          </w:p>
        </w:tc>
        <w:tc>
          <w:tcPr>
            <w:tcW w:w="3694" w:type="dxa"/>
            <w:shd w:val="clear" w:color="auto" w:fill="auto"/>
            <w:noWrap/>
          </w:tcPr>
          <w:p w14:paraId="23745B9F" w14:textId="65F1CA0B" w:rsidR="00AE56C1" w:rsidRPr="00155B2A" w:rsidRDefault="00801804" w:rsidP="00AE56C1">
            <w:pPr>
              <w:spacing w:after="0" w:line="240" w:lineRule="auto"/>
              <w:jc w:val="right"/>
              <w:rPr>
                <w:rFonts w:eastAsia="Times New Roman" w:cs="Arial"/>
                <w:kern w:val="0"/>
                <w:lang w:eastAsia="sl-SI"/>
                <w14:ligatures w14:val="none"/>
              </w:rPr>
            </w:pPr>
            <w:r>
              <w:rPr>
                <w:rFonts w:eastAsia="Times New Roman" w:cs="Arial"/>
                <w:kern w:val="0"/>
                <w:lang w:eastAsia="sl-SI"/>
                <w14:ligatures w14:val="none"/>
              </w:rPr>
              <w:t>16.441.125</w:t>
            </w:r>
          </w:p>
        </w:tc>
        <w:tc>
          <w:tcPr>
            <w:tcW w:w="2239" w:type="dxa"/>
            <w:shd w:val="clear" w:color="auto" w:fill="auto"/>
            <w:noWrap/>
          </w:tcPr>
          <w:p w14:paraId="41EBAD51" w14:textId="49B0C7C6" w:rsidR="00AE56C1" w:rsidRPr="00155B2A" w:rsidRDefault="00801804" w:rsidP="00AE56C1">
            <w:pPr>
              <w:spacing w:after="0" w:line="240" w:lineRule="auto"/>
              <w:jc w:val="right"/>
              <w:rPr>
                <w:rFonts w:eastAsia="Arial" w:cs="Arial"/>
                <w:szCs w:val="20"/>
              </w:rPr>
            </w:pPr>
            <w:r>
              <w:rPr>
                <w:rFonts w:eastAsia="Arial" w:cs="Arial"/>
                <w:szCs w:val="20"/>
              </w:rPr>
              <w:t>40.133.125</w:t>
            </w:r>
          </w:p>
        </w:tc>
        <w:tc>
          <w:tcPr>
            <w:tcW w:w="2680" w:type="dxa"/>
            <w:shd w:val="clear" w:color="auto" w:fill="auto"/>
            <w:noWrap/>
            <w:vAlign w:val="bottom"/>
            <w:hideMark/>
          </w:tcPr>
          <w:p w14:paraId="0964CC01" w14:textId="1C480AAE" w:rsidR="00AE56C1" w:rsidRPr="00155B2A" w:rsidRDefault="32D431FB" w:rsidP="00AE56C1">
            <w:pPr>
              <w:spacing w:after="0" w:line="240" w:lineRule="auto"/>
              <w:rPr>
                <w:rFonts w:eastAsia="Times New Roman" w:cs="Arial"/>
                <w:color w:val="000000"/>
                <w:kern w:val="0"/>
                <w:lang w:eastAsia="sl-SI"/>
                <w14:ligatures w14:val="none"/>
              </w:rPr>
            </w:pPr>
            <w:r w:rsidRPr="00155B2A">
              <w:rPr>
                <w:rFonts w:eastAsia="Times New Roman" w:cs="Arial"/>
                <w:color w:val="000000" w:themeColor="text1"/>
                <w:lang w:eastAsia="sl-SI"/>
              </w:rPr>
              <w:t>Umestitev ukrepov MDDSZ</w:t>
            </w:r>
          </w:p>
        </w:tc>
      </w:tr>
      <w:tr w:rsidR="0022402B" w:rsidRPr="009A3BA8" w14:paraId="484716E3" w14:textId="77777777" w:rsidTr="00680842">
        <w:trPr>
          <w:trHeight w:val="300"/>
        </w:trPr>
        <w:tc>
          <w:tcPr>
            <w:tcW w:w="423" w:type="dxa"/>
            <w:shd w:val="clear" w:color="auto" w:fill="auto"/>
            <w:noWrap/>
            <w:hideMark/>
          </w:tcPr>
          <w:p w14:paraId="553E513E" w14:textId="376AD29D" w:rsidR="00AE56C1" w:rsidRPr="00155B2A" w:rsidRDefault="00AE56C1" w:rsidP="00AE56C1">
            <w:pPr>
              <w:spacing w:after="0" w:line="240" w:lineRule="auto"/>
              <w:rPr>
                <w:rFonts w:eastAsia="Times New Roman" w:cs="Arial"/>
                <w:color w:val="000000"/>
                <w:kern w:val="0"/>
                <w:szCs w:val="20"/>
                <w:lang w:eastAsia="sl-SI"/>
                <w14:ligatures w14:val="none"/>
              </w:rPr>
            </w:pPr>
            <w:r w:rsidRPr="00155B2A">
              <w:lastRenderedPageBreak/>
              <w:t>6</w:t>
            </w:r>
          </w:p>
        </w:tc>
        <w:tc>
          <w:tcPr>
            <w:tcW w:w="1223" w:type="dxa"/>
            <w:shd w:val="clear" w:color="auto" w:fill="auto"/>
            <w:noWrap/>
            <w:hideMark/>
          </w:tcPr>
          <w:p w14:paraId="52BF9F26" w14:textId="680A6D86" w:rsidR="00AE56C1" w:rsidRPr="00155B2A" w:rsidRDefault="00AE56C1" w:rsidP="00AE56C1">
            <w:pPr>
              <w:spacing w:after="0" w:line="240" w:lineRule="auto"/>
              <w:rPr>
                <w:rFonts w:eastAsia="Times New Roman" w:cs="Arial"/>
                <w:color w:val="000000"/>
                <w:kern w:val="0"/>
                <w:szCs w:val="20"/>
                <w:lang w:eastAsia="sl-SI"/>
                <w14:ligatures w14:val="none"/>
              </w:rPr>
            </w:pPr>
            <w:r w:rsidRPr="00155B2A">
              <w:t>ESO 4.4</w:t>
            </w:r>
          </w:p>
        </w:tc>
        <w:tc>
          <w:tcPr>
            <w:tcW w:w="996" w:type="dxa"/>
            <w:shd w:val="clear" w:color="auto" w:fill="auto"/>
            <w:noWrap/>
            <w:hideMark/>
          </w:tcPr>
          <w:p w14:paraId="1C4956AA" w14:textId="12978283" w:rsidR="00AE56C1" w:rsidRPr="00155B2A" w:rsidRDefault="00AE56C1" w:rsidP="00AE56C1">
            <w:pPr>
              <w:spacing w:after="0" w:line="240" w:lineRule="auto"/>
              <w:rPr>
                <w:rFonts w:eastAsia="Times New Roman" w:cs="Arial"/>
                <w:color w:val="000000"/>
                <w:kern w:val="0"/>
                <w:szCs w:val="20"/>
                <w:lang w:eastAsia="sl-SI"/>
                <w14:ligatures w14:val="none"/>
              </w:rPr>
            </w:pPr>
            <w:r w:rsidRPr="00155B2A">
              <w:t>ESS+</w:t>
            </w:r>
          </w:p>
        </w:tc>
        <w:tc>
          <w:tcPr>
            <w:tcW w:w="970" w:type="dxa"/>
            <w:shd w:val="clear" w:color="auto" w:fill="auto"/>
            <w:noWrap/>
            <w:hideMark/>
          </w:tcPr>
          <w:p w14:paraId="448E73C7" w14:textId="3677B889" w:rsidR="00AE56C1" w:rsidRPr="00155B2A" w:rsidRDefault="00AE56C1" w:rsidP="00AE56C1">
            <w:pPr>
              <w:spacing w:after="0" w:line="240" w:lineRule="auto"/>
              <w:rPr>
                <w:rFonts w:eastAsia="Times New Roman" w:cs="Arial"/>
                <w:color w:val="000000"/>
                <w:kern w:val="0"/>
                <w:szCs w:val="20"/>
                <w:lang w:eastAsia="sl-SI"/>
                <w14:ligatures w14:val="none"/>
              </w:rPr>
            </w:pPr>
            <w:r w:rsidRPr="00155B2A">
              <w:t>Zahod</w:t>
            </w:r>
          </w:p>
        </w:tc>
        <w:tc>
          <w:tcPr>
            <w:tcW w:w="1767" w:type="dxa"/>
            <w:shd w:val="clear" w:color="auto" w:fill="auto"/>
            <w:noWrap/>
            <w:hideMark/>
          </w:tcPr>
          <w:p w14:paraId="27FC5FBA" w14:textId="5851350D" w:rsidR="00AE56C1" w:rsidRPr="00155B2A" w:rsidRDefault="00AE56C1" w:rsidP="00AE56C1">
            <w:pPr>
              <w:spacing w:after="0" w:line="240" w:lineRule="auto"/>
              <w:jc w:val="right"/>
              <w:rPr>
                <w:rFonts w:eastAsia="Times New Roman" w:cs="Arial"/>
                <w:kern w:val="0"/>
                <w:szCs w:val="20"/>
                <w:lang w:eastAsia="sl-SI"/>
                <w14:ligatures w14:val="none"/>
              </w:rPr>
            </w:pPr>
            <w:r w:rsidRPr="00155B2A">
              <w:t>7.550.000</w:t>
            </w:r>
          </w:p>
        </w:tc>
        <w:tc>
          <w:tcPr>
            <w:tcW w:w="3694" w:type="dxa"/>
            <w:shd w:val="clear" w:color="auto" w:fill="auto"/>
            <w:noWrap/>
            <w:hideMark/>
          </w:tcPr>
          <w:p w14:paraId="17F13286" w14:textId="3FD51AEC" w:rsidR="00AE56C1" w:rsidRPr="00155B2A" w:rsidRDefault="00AE56C1" w:rsidP="00AE56C1">
            <w:pPr>
              <w:spacing w:after="0" w:line="240" w:lineRule="auto"/>
              <w:jc w:val="right"/>
              <w:rPr>
                <w:rFonts w:eastAsia="Times New Roman" w:cs="Arial"/>
                <w:kern w:val="0"/>
                <w:szCs w:val="20"/>
                <w:lang w:eastAsia="sl-SI"/>
                <w14:ligatures w14:val="none"/>
              </w:rPr>
            </w:pPr>
          </w:p>
        </w:tc>
        <w:tc>
          <w:tcPr>
            <w:tcW w:w="2239" w:type="dxa"/>
            <w:shd w:val="clear" w:color="auto" w:fill="auto"/>
            <w:noWrap/>
            <w:hideMark/>
          </w:tcPr>
          <w:p w14:paraId="1B2BEAE4" w14:textId="7B99667A" w:rsidR="00AE56C1" w:rsidRPr="00155B2A" w:rsidRDefault="00AE56C1" w:rsidP="00AE56C1">
            <w:pPr>
              <w:spacing w:after="0" w:line="240" w:lineRule="auto"/>
              <w:jc w:val="right"/>
              <w:rPr>
                <w:rFonts w:eastAsia="Times New Roman" w:cs="Arial"/>
                <w:kern w:val="0"/>
                <w:szCs w:val="20"/>
                <w:lang w:eastAsia="sl-SI"/>
                <w14:ligatures w14:val="none"/>
              </w:rPr>
            </w:pPr>
            <w:r w:rsidRPr="00155B2A">
              <w:t>7.5</w:t>
            </w:r>
            <w:r w:rsidR="42FA3BA7" w:rsidRPr="00155B2A">
              <w:t>50</w:t>
            </w:r>
            <w:r w:rsidRPr="00155B2A">
              <w:t>.</w:t>
            </w:r>
            <w:r w:rsidR="306A76E4" w:rsidRPr="00155B2A">
              <w:t>0</w:t>
            </w:r>
            <w:r w:rsidRPr="00155B2A">
              <w:t>00</w:t>
            </w:r>
          </w:p>
        </w:tc>
        <w:tc>
          <w:tcPr>
            <w:tcW w:w="2680" w:type="dxa"/>
            <w:shd w:val="clear" w:color="auto" w:fill="auto"/>
            <w:noWrap/>
            <w:vAlign w:val="bottom"/>
            <w:hideMark/>
          </w:tcPr>
          <w:p w14:paraId="7EDEE6BF" w14:textId="7564ED28" w:rsidR="00AE56C1" w:rsidRPr="00155B2A" w:rsidRDefault="00AE56C1" w:rsidP="00AE56C1">
            <w:pPr>
              <w:spacing w:after="0" w:line="240" w:lineRule="auto"/>
              <w:rPr>
                <w:rFonts w:eastAsia="Times New Roman" w:cs="Arial"/>
                <w:color w:val="000000"/>
                <w:kern w:val="0"/>
                <w:szCs w:val="20"/>
                <w:lang w:eastAsia="sl-SI"/>
                <w14:ligatures w14:val="none"/>
              </w:rPr>
            </w:pPr>
          </w:p>
        </w:tc>
      </w:tr>
      <w:tr w:rsidR="0022402B" w:rsidRPr="009A3BA8" w14:paraId="10873B5C" w14:textId="77777777" w:rsidTr="00680842">
        <w:trPr>
          <w:trHeight w:val="300"/>
        </w:trPr>
        <w:tc>
          <w:tcPr>
            <w:tcW w:w="423" w:type="dxa"/>
            <w:shd w:val="clear" w:color="auto" w:fill="auto"/>
            <w:noWrap/>
            <w:vAlign w:val="bottom"/>
            <w:hideMark/>
          </w:tcPr>
          <w:p w14:paraId="6A45D2B6" w14:textId="77777777" w:rsidR="00DE7CD9" w:rsidRPr="00155B2A" w:rsidRDefault="00DE7CD9" w:rsidP="00DE7CD9">
            <w:pPr>
              <w:spacing w:after="0" w:line="240" w:lineRule="auto"/>
              <w:rPr>
                <w:rFonts w:eastAsia="Times New Roman" w:cs="Arial"/>
                <w:color w:val="000000"/>
                <w:kern w:val="0"/>
                <w:szCs w:val="20"/>
                <w:lang w:eastAsia="sl-SI"/>
                <w14:ligatures w14:val="none"/>
              </w:rPr>
            </w:pPr>
            <w:r w:rsidRPr="00155B2A">
              <w:rPr>
                <w:rFonts w:eastAsia="Times New Roman" w:cs="Arial"/>
                <w:color w:val="000000"/>
                <w:kern w:val="0"/>
                <w:szCs w:val="20"/>
                <w:lang w:eastAsia="sl-SI"/>
                <w14:ligatures w14:val="none"/>
              </w:rPr>
              <w:t>6</w:t>
            </w:r>
          </w:p>
        </w:tc>
        <w:tc>
          <w:tcPr>
            <w:tcW w:w="1223" w:type="dxa"/>
            <w:shd w:val="clear" w:color="auto" w:fill="auto"/>
            <w:noWrap/>
            <w:vAlign w:val="bottom"/>
            <w:hideMark/>
          </w:tcPr>
          <w:p w14:paraId="13B17E91" w14:textId="77777777" w:rsidR="00DE7CD9" w:rsidRPr="00155B2A" w:rsidRDefault="00DE7CD9" w:rsidP="00DE7CD9">
            <w:pPr>
              <w:spacing w:after="0" w:line="240" w:lineRule="auto"/>
              <w:rPr>
                <w:rFonts w:eastAsia="Times New Roman" w:cs="Arial"/>
                <w:color w:val="000000"/>
                <w:kern w:val="0"/>
                <w:szCs w:val="20"/>
                <w:lang w:eastAsia="sl-SI"/>
                <w14:ligatures w14:val="none"/>
              </w:rPr>
            </w:pPr>
            <w:r w:rsidRPr="00155B2A">
              <w:rPr>
                <w:rFonts w:eastAsia="Times New Roman" w:cs="Arial"/>
                <w:color w:val="000000"/>
                <w:kern w:val="0"/>
                <w:szCs w:val="20"/>
                <w:lang w:eastAsia="sl-SI"/>
                <w14:ligatures w14:val="none"/>
              </w:rPr>
              <w:t>ESO 4.5</w:t>
            </w:r>
          </w:p>
        </w:tc>
        <w:tc>
          <w:tcPr>
            <w:tcW w:w="996" w:type="dxa"/>
            <w:shd w:val="clear" w:color="auto" w:fill="auto"/>
            <w:noWrap/>
            <w:vAlign w:val="bottom"/>
            <w:hideMark/>
          </w:tcPr>
          <w:p w14:paraId="1B512A1D" w14:textId="77777777" w:rsidR="00DE7CD9" w:rsidRPr="00155B2A" w:rsidRDefault="00DE7CD9" w:rsidP="00DE7CD9">
            <w:pPr>
              <w:spacing w:after="0" w:line="240" w:lineRule="auto"/>
              <w:rPr>
                <w:rFonts w:eastAsia="Times New Roman" w:cs="Arial"/>
                <w:color w:val="000000"/>
                <w:kern w:val="0"/>
                <w:szCs w:val="20"/>
                <w:lang w:eastAsia="sl-SI"/>
                <w14:ligatures w14:val="none"/>
              </w:rPr>
            </w:pPr>
            <w:r w:rsidRPr="00155B2A">
              <w:rPr>
                <w:rFonts w:eastAsia="Times New Roman" w:cs="Arial"/>
                <w:color w:val="000000"/>
                <w:kern w:val="0"/>
                <w:szCs w:val="20"/>
                <w:lang w:eastAsia="sl-SI"/>
                <w14:ligatures w14:val="none"/>
              </w:rPr>
              <w:t>ESS+</w:t>
            </w:r>
          </w:p>
        </w:tc>
        <w:tc>
          <w:tcPr>
            <w:tcW w:w="970" w:type="dxa"/>
            <w:shd w:val="clear" w:color="auto" w:fill="auto"/>
            <w:noWrap/>
            <w:vAlign w:val="bottom"/>
            <w:hideMark/>
          </w:tcPr>
          <w:p w14:paraId="13C95F2C" w14:textId="77777777" w:rsidR="00DE7CD9" w:rsidRPr="00155B2A" w:rsidRDefault="00DE7CD9" w:rsidP="00DE7CD9">
            <w:pPr>
              <w:spacing w:after="0" w:line="240" w:lineRule="auto"/>
              <w:rPr>
                <w:rFonts w:eastAsia="Times New Roman" w:cs="Arial"/>
                <w:color w:val="000000"/>
                <w:kern w:val="0"/>
                <w:szCs w:val="20"/>
                <w:lang w:eastAsia="sl-SI"/>
                <w14:ligatures w14:val="none"/>
              </w:rPr>
            </w:pPr>
            <w:r w:rsidRPr="00155B2A">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2F54DD26" w14:textId="77777777" w:rsidR="00DE7CD9" w:rsidRPr="00155B2A" w:rsidRDefault="00DE7CD9" w:rsidP="00DE7CD9">
            <w:pPr>
              <w:spacing w:after="0" w:line="240" w:lineRule="auto"/>
              <w:jc w:val="right"/>
              <w:rPr>
                <w:rFonts w:eastAsia="Times New Roman" w:cs="Arial"/>
                <w:kern w:val="0"/>
                <w:szCs w:val="20"/>
                <w:lang w:eastAsia="sl-SI"/>
                <w14:ligatures w14:val="none"/>
              </w:rPr>
            </w:pPr>
            <w:r w:rsidRPr="00155B2A">
              <w:rPr>
                <w:rFonts w:eastAsia="Times New Roman" w:cs="Arial"/>
                <w:kern w:val="0"/>
                <w:szCs w:val="20"/>
                <w:lang w:eastAsia="sl-SI"/>
                <w14:ligatures w14:val="none"/>
              </w:rPr>
              <w:t>95.168.800</w:t>
            </w:r>
          </w:p>
        </w:tc>
        <w:tc>
          <w:tcPr>
            <w:tcW w:w="3694" w:type="dxa"/>
            <w:shd w:val="clear" w:color="auto" w:fill="auto"/>
            <w:noWrap/>
            <w:vAlign w:val="center"/>
            <w:hideMark/>
          </w:tcPr>
          <w:p w14:paraId="65B4BD30" w14:textId="7D6B8DD1" w:rsidR="00DE7CD9" w:rsidRPr="00155B2A" w:rsidRDefault="00996314" w:rsidP="00DE7CD9">
            <w:pPr>
              <w:spacing w:after="0" w:line="240" w:lineRule="auto"/>
              <w:jc w:val="right"/>
              <w:rPr>
                <w:rFonts w:eastAsia="Times New Roman" w:cs="Arial"/>
                <w:kern w:val="0"/>
                <w:szCs w:val="20"/>
                <w:lang w:eastAsia="sl-SI"/>
                <w14:ligatures w14:val="none"/>
              </w:rPr>
            </w:pPr>
            <w:r>
              <w:rPr>
                <w:rFonts w:cs="Arial"/>
                <w:szCs w:val="20"/>
              </w:rPr>
              <w:t>625.000</w:t>
            </w:r>
            <w:r w:rsidR="00DE7CD9" w:rsidRPr="00155B2A">
              <w:rPr>
                <w:rFonts w:cs="Arial"/>
                <w:szCs w:val="20"/>
              </w:rPr>
              <w:t> </w:t>
            </w:r>
          </w:p>
        </w:tc>
        <w:tc>
          <w:tcPr>
            <w:tcW w:w="2239" w:type="dxa"/>
            <w:shd w:val="clear" w:color="auto" w:fill="auto"/>
            <w:noWrap/>
            <w:vAlign w:val="center"/>
            <w:hideMark/>
          </w:tcPr>
          <w:p w14:paraId="61CAD817" w14:textId="0289B642" w:rsidR="00DE7CD9" w:rsidRPr="00155B2A" w:rsidRDefault="00996314" w:rsidP="00DE7CD9">
            <w:pPr>
              <w:spacing w:after="0" w:line="240" w:lineRule="auto"/>
              <w:jc w:val="right"/>
              <w:rPr>
                <w:rFonts w:eastAsia="Times New Roman" w:cs="Arial"/>
                <w:kern w:val="0"/>
                <w:szCs w:val="20"/>
                <w:lang w:eastAsia="sl-SI"/>
                <w14:ligatures w14:val="none"/>
              </w:rPr>
            </w:pPr>
            <w:r>
              <w:rPr>
                <w:rFonts w:cs="Arial"/>
                <w:szCs w:val="20"/>
              </w:rPr>
              <w:t>95.793.800</w:t>
            </w:r>
          </w:p>
        </w:tc>
        <w:tc>
          <w:tcPr>
            <w:tcW w:w="2680" w:type="dxa"/>
            <w:shd w:val="clear" w:color="auto" w:fill="auto"/>
            <w:noWrap/>
            <w:vAlign w:val="bottom"/>
            <w:hideMark/>
          </w:tcPr>
          <w:p w14:paraId="3DD0DBA6" w14:textId="3C547426" w:rsidR="00DE7CD9" w:rsidRPr="00155B2A" w:rsidRDefault="00016F59" w:rsidP="00DE7CD9">
            <w:pPr>
              <w:spacing w:after="0" w:line="240" w:lineRule="auto"/>
              <w:rPr>
                <w:rFonts w:eastAsia="Times New Roman" w:cs="Arial"/>
                <w:color w:val="000000"/>
                <w:kern w:val="0"/>
                <w:szCs w:val="20"/>
                <w:lang w:eastAsia="sl-SI"/>
                <w14:ligatures w14:val="none"/>
              </w:rPr>
            </w:pPr>
            <w:r w:rsidRPr="009A3BA8">
              <w:rPr>
                <w:rFonts w:eastAsia="Times New Roman" w:cs="Arial"/>
                <w:color w:val="000000"/>
                <w:kern w:val="0"/>
                <w:szCs w:val="20"/>
                <w:lang w:eastAsia="sl-SI"/>
                <w14:ligatures w14:val="none"/>
              </w:rPr>
              <w:t>Umestitev ukrepov MDP</w:t>
            </w:r>
          </w:p>
        </w:tc>
      </w:tr>
      <w:tr w:rsidR="0022402B" w:rsidRPr="009A3BA8" w14:paraId="06DF4B80" w14:textId="77777777" w:rsidTr="00680842">
        <w:trPr>
          <w:trHeight w:val="300"/>
        </w:trPr>
        <w:tc>
          <w:tcPr>
            <w:tcW w:w="423" w:type="dxa"/>
            <w:shd w:val="clear" w:color="auto" w:fill="auto"/>
            <w:noWrap/>
            <w:vAlign w:val="bottom"/>
            <w:hideMark/>
          </w:tcPr>
          <w:p w14:paraId="2EFCF9E9" w14:textId="77777777" w:rsidR="00DE7CD9" w:rsidRPr="009A3BA8" w:rsidRDefault="00DE7CD9" w:rsidP="00DE7CD9">
            <w:pPr>
              <w:spacing w:after="0" w:line="240" w:lineRule="auto"/>
              <w:rPr>
                <w:rFonts w:eastAsia="Times New Roman" w:cs="Arial"/>
                <w:color w:val="000000"/>
                <w:kern w:val="0"/>
                <w:szCs w:val="20"/>
                <w:lang w:eastAsia="sl-SI"/>
                <w14:ligatures w14:val="none"/>
              </w:rPr>
            </w:pPr>
            <w:r w:rsidRPr="009A3BA8">
              <w:rPr>
                <w:rFonts w:eastAsia="Times New Roman" w:cs="Arial"/>
                <w:color w:val="000000"/>
                <w:kern w:val="0"/>
                <w:szCs w:val="20"/>
                <w:lang w:eastAsia="sl-SI"/>
                <w14:ligatures w14:val="none"/>
              </w:rPr>
              <w:t>6</w:t>
            </w:r>
          </w:p>
        </w:tc>
        <w:tc>
          <w:tcPr>
            <w:tcW w:w="1223" w:type="dxa"/>
            <w:shd w:val="clear" w:color="auto" w:fill="auto"/>
            <w:noWrap/>
            <w:vAlign w:val="bottom"/>
            <w:hideMark/>
          </w:tcPr>
          <w:p w14:paraId="3A0C300B" w14:textId="77777777" w:rsidR="00DE7CD9" w:rsidRPr="009A3BA8" w:rsidRDefault="00DE7CD9" w:rsidP="00DE7CD9">
            <w:pPr>
              <w:spacing w:after="0" w:line="240" w:lineRule="auto"/>
              <w:rPr>
                <w:rFonts w:eastAsia="Times New Roman" w:cs="Arial"/>
                <w:color w:val="000000"/>
                <w:kern w:val="0"/>
                <w:szCs w:val="20"/>
                <w:lang w:eastAsia="sl-SI"/>
                <w14:ligatures w14:val="none"/>
              </w:rPr>
            </w:pPr>
            <w:r w:rsidRPr="009A3BA8">
              <w:rPr>
                <w:rFonts w:eastAsia="Times New Roman" w:cs="Arial"/>
                <w:color w:val="000000"/>
                <w:kern w:val="0"/>
                <w:szCs w:val="20"/>
                <w:lang w:eastAsia="sl-SI"/>
                <w14:ligatures w14:val="none"/>
              </w:rPr>
              <w:t>ESO 4.5</w:t>
            </w:r>
          </w:p>
        </w:tc>
        <w:tc>
          <w:tcPr>
            <w:tcW w:w="996" w:type="dxa"/>
            <w:shd w:val="clear" w:color="auto" w:fill="auto"/>
            <w:noWrap/>
            <w:vAlign w:val="bottom"/>
            <w:hideMark/>
          </w:tcPr>
          <w:p w14:paraId="009BEC05" w14:textId="77777777" w:rsidR="00DE7CD9" w:rsidRPr="009A3BA8" w:rsidRDefault="00DE7CD9" w:rsidP="00DE7CD9">
            <w:pPr>
              <w:spacing w:after="0" w:line="240" w:lineRule="auto"/>
              <w:rPr>
                <w:rFonts w:eastAsia="Times New Roman" w:cs="Arial"/>
                <w:color w:val="000000"/>
                <w:kern w:val="0"/>
                <w:szCs w:val="20"/>
                <w:lang w:eastAsia="sl-SI"/>
                <w14:ligatures w14:val="none"/>
              </w:rPr>
            </w:pPr>
            <w:r w:rsidRPr="009A3BA8">
              <w:rPr>
                <w:rFonts w:eastAsia="Times New Roman" w:cs="Arial"/>
                <w:color w:val="000000"/>
                <w:kern w:val="0"/>
                <w:szCs w:val="20"/>
                <w:lang w:eastAsia="sl-SI"/>
                <w14:ligatures w14:val="none"/>
              </w:rPr>
              <w:t>ESS+</w:t>
            </w:r>
          </w:p>
        </w:tc>
        <w:tc>
          <w:tcPr>
            <w:tcW w:w="970" w:type="dxa"/>
            <w:shd w:val="clear" w:color="auto" w:fill="auto"/>
            <w:noWrap/>
            <w:vAlign w:val="bottom"/>
            <w:hideMark/>
          </w:tcPr>
          <w:p w14:paraId="78BA1D02" w14:textId="77777777" w:rsidR="00DE7CD9" w:rsidRPr="009A3BA8" w:rsidRDefault="00DE7CD9" w:rsidP="00DE7CD9">
            <w:pPr>
              <w:spacing w:after="0" w:line="240" w:lineRule="auto"/>
              <w:rPr>
                <w:rFonts w:eastAsia="Times New Roman" w:cs="Arial"/>
                <w:color w:val="000000"/>
                <w:kern w:val="0"/>
                <w:szCs w:val="20"/>
                <w:lang w:eastAsia="sl-SI"/>
                <w14:ligatures w14:val="none"/>
              </w:rPr>
            </w:pPr>
            <w:r w:rsidRPr="009A3BA8">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16F7C17A" w14:textId="77777777" w:rsidR="00DE7CD9" w:rsidRPr="009A3BA8" w:rsidRDefault="00DE7CD9" w:rsidP="00DE7CD9">
            <w:pPr>
              <w:spacing w:after="0" w:line="240" w:lineRule="auto"/>
              <w:jc w:val="right"/>
              <w:rPr>
                <w:rFonts w:eastAsia="Times New Roman" w:cs="Arial"/>
                <w:kern w:val="0"/>
                <w:szCs w:val="20"/>
                <w:lang w:eastAsia="sl-SI"/>
                <w14:ligatures w14:val="none"/>
              </w:rPr>
            </w:pPr>
            <w:r w:rsidRPr="009A3BA8">
              <w:rPr>
                <w:rFonts w:eastAsia="Times New Roman" w:cs="Arial"/>
                <w:kern w:val="0"/>
                <w:szCs w:val="20"/>
                <w:lang w:eastAsia="sl-SI"/>
                <w14:ligatures w14:val="none"/>
              </w:rPr>
              <w:t>42.265.000</w:t>
            </w:r>
          </w:p>
        </w:tc>
        <w:tc>
          <w:tcPr>
            <w:tcW w:w="3694" w:type="dxa"/>
            <w:shd w:val="clear" w:color="auto" w:fill="auto"/>
            <w:noWrap/>
            <w:vAlign w:val="center"/>
            <w:hideMark/>
          </w:tcPr>
          <w:p w14:paraId="39C62BFA" w14:textId="39D22E2D" w:rsidR="00DE7CD9" w:rsidRPr="0039614B" w:rsidRDefault="00DE7CD9" w:rsidP="00DE7CD9">
            <w:pPr>
              <w:spacing w:after="0" w:line="240" w:lineRule="auto"/>
              <w:jc w:val="right"/>
              <w:rPr>
                <w:rFonts w:eastAsia="Times New Roman" w:cs="Arial"/>
                <w:kern w:val="0"/>
                <w:szCs w:val="20"/>
                <w:lang w:eastAsia="sl-SI"/>
                <w14:ligatures w14:val="none"/>
              </w:rPr>
            </w:pPr>
            <w:r w:rsidRPr="00F51C15">
              <w:rPr>
                <w:rFonts w:cs="Arial"/>
                <w:szCs w:val="20"/>
              </w:rPr>
              <w:t> </w:t>
            </w:r>
          </w:p>
        </w:tc>
        <w:tc>
          <w:tcPr>
            <w:tcW w:w="2239" w:type="dxa"/>
            <w:shd w:val="clear" w:color="auto" w:fill="auto"/>
            <w:noWrap/>
            <w:vAlign w:val="center"/>
            <w:hideMark/>
          </w:tcPr>
          <w:p w14:paraId="0291FAAE" w14:textId="3B79B33C" w:rsidR="00DE7CD9" w:rsidRPr="009A3BA8" w:rsidRDefault="00DE7CD9" w:rsidP="00DE7CD9">
            <w:pPr>
              <w:spacing w:after="0" w:line="240" w:lineRule="auto"/>
              <w:jc w:val="right"/>
              <w:rPr>
                <w:rFonts w:eastAsia="Times New Roman" w:cs="Arial"/>
                <w:kern w:val="0"/>
                <w:szCs w:val="20"/>
                <w:lang w:eastAsia="sl-SI"/>
                <w14:ligatures w14:val="none"/>
              </w:rPr>
            </w:pPr>
            <w:r w:rsidRPr="00F51C15">
              <w:rPr>
                <w:rFonts w:cs="Arial"/>
                <w:szCs w:val="20"/>
              </w:rPr>
              <w:t>42.265.000</w:t>
            </w:r>
          </w:p>
        </w:tc>
        <w:tc>
          <w:tcPr>
            <w:tcW w:w="2680" w:type="dxa"/>
            <w:shd w:val="clear" w:color="auto" w:fill="auto"/>
            <w:noWrap/>
            <w:vAlign w:val="bottom"/>
            <w:hideMark/>
          </w:tcPr>
          <w:p w14:paraId="354A850E" w14:textId="46DDD2A6" w:rsidR="00DE7CD9" w:rsidRPr="009A3BA8" w:rsidRDefault="00DE7CD9" w:rsidP="00DE7CD9">
            <w:pPr>
              <w:spacing w:after="0" w:line="240" w:lineRule="auto"/>
              <w:rPr>
                <w:rFonts w:eastAsia="Times New Roman" w:cs="Arial"/>
                <w:color w:val="000000"/>
                <w:kern w:val="0"/>
                <w:szCs w:val="20"/>
                <w:lang w:eastAsia="sl-SI"/>
                <w14:ligatures w14:val="none"/>
              </w:rPr>
            </w:pPr>
          </w:p>
        </w:tc>
      </w:tr>
      <w:tr w:rsidR="0022402B" w:rsidRPr="009A3BA8" w14:paraId="1885776D" w14:textId="77777777" w:rsidTr="00680842">
        <w:trPr>
          <w:trHeight w:val="300"/>
        </w:trPr>
        <w:tc>
          <w:tcPr>
            <w:tcW w:w="423" w:type="dxa"/>
            <w:shd w:val="clear" w:color="auto" w:fill="auto"/>
            <w:noWrap/>
            <w:vAlign w:val="bottom"/>
            <w:hideMark/>
          </w:tcPr>
          <w:p w14:paraId="3F6016B6" w14:textId="77777777" w:rsidR="00DE7CD9" w:rsidRPr="009A3BA8" w:rsidRDefault="00DE7CD9" w:rsidP="00DE7CD9">
            <w:pPr>
              <w:spacing w:after="0" w:line="240" w:lineRule="auto"/>
              <w:rPr>
                <w:rFonts w:eastAsia="Times New Roman" w:cs="Arial"/>
                <w:color w:val="000000"/>
                <w:kern w:val="0"/>
                <w:szCs w:val="20"/>
                <w:lang w:eastAsia="sl-SI"/>
                <w14:ligatures w14:val="none"/>
              </w:rPr>
            </w:pPr>
            <w:r w:rsidRPr="009A3BA8">
              <w:rPr>
                <w:rFonts w:eastAsia="Times New Roman" w:cs="Arial"/>
                <w:color w:val="000000"/>
                <w:kern w:val="0"/>
                <w:szCs w:val="20"/>
                <w:lang w:eastAsia="sl-SI"/>
                <w14:ligatures w14:val="none"/>
              </w:rPr>
              <w:t>6</w:t>
            </w:r>
          </w:p>
        </w:tc>
        <w:tc>
          <w:tcPr>
            <w:tcW w:w="1223" w:type="dxa"/>
            <w:shd w:val="clear" w:color="auto" w:fill="auto"/>
            <w:noWrap/>
            <w:vAlign w:val="bottom"/>
            <w:hideMark/>
          </w:tcPr>
          <w:p w14:paraId="64541A35" w14:textId="77777777" w:rsidR="00DE7CD9" w:rsidRPr="009A3BA8" w:rsidRDefault="00DE7CD9" w:rsidP="00DE7CD9">
            <w:pPr>
              <w:spacing w:after="0" w:line="240" w:lineRule="auto"/>
              <w:rPr>
                <w:rFonts w:eastAsia="Times New Roman" w:cs="Arial"/>
                <w:color w:val="000000"/>
                <w:kern w:val="0"/>
                <w:szCs w:val="20"/>
                <w:lang w:eastAsia="sl-SI"/>
                <w14:ligatures w14:val="none"/>
              </w:rPr>
            </w:pPr>
            <w:r w:rsidRPr="009A3BA8">
              <w:rPr>
                <w:rFonts w:eastAsia="Times New Roman" w:cs="Arial"/>
                <w:color w:val="000000"/>
                <w:kern w:val="0"/>
                <w:szCs w:val="20"/>
                <w:lang w:eastAsia="sl-SI"/>
                <w14:ligatures w14:val="none"/>
              </w:rPr>
              <w:t>ESO 4.7</w:t>
            </w:r>
          </w:p>
        </w:tc>
        <w:tc>
          <w:tcPr>
            <w:tcW w:w="996" w:type="dxa"/>
            <w:shd w:val="clear" w:color="auto" w:fill="auto"/>
            <w:noWrap/>
            <w:vAlign w:val="bottom"/>
            <w:hideMark/>
          </w:tcPr>
          <w:p w14:paraId="097E5825" w14:textId="77777777" w:rsidR="00DE7CD9" w:rsidRPr="009A3BA8" w:rsidRDefault="00DE7CD9" w:rsidP="00DE7CD9">
            <w:pPr>
              <w:spacing w:after="0" w:line="240" w:lineRule="auto"/>
              <w:rPr>
                <w:rFonts w:eastAsia="Times New Roman" w:cs="Arial"/>
                <w:color w:val="000000"/>
                <w:kern w:val="0"/>
                <w:szCs w:val="20"/>
                <w:lang w:eastAsia="sl-SI"/>
                <w14:ligatures w14:val="none"/>
              </w:rPr>
            </w:pPr>
            <w:r w:rsidRPr="009A3BA8">
              <w:rPr>
                <w:rFonts w:eastAsia="Times New Roman" w:cs="Arial"/>
                <w:color w:val="000000"/>
                <w:kern w:val="0"/>
                <w:szCs w:val="20"/>
                <w:lang w:eastAsia="sl-SI"/>
                <w14:ligatures w14:val="none"/>
              </w:rPr>
              <w:t>ESS+</w:t>
            </w:r>
          </w:p>
        </w:tc>
        <w:tc>
          <w:tcPr>
            <w:tcW w:w="970" w:type="dxa"/>
            <w:shd w:val="clear" w:color="auto" w:fill="auto"/>
            <w:noWrap/>
            <w:vAlign w:val="bottom"/>
            <w:hideMark/>
          </w:tcPr>
          <w:p w14:paraId="4F0844B4" w14:textId="77777777" w:rsidR="00DE7CD9" w:rsidRPr="009A3BA8" w:rsidRDefault="00DE7CD9" w:rsidP="00DE7CD9">
            <w:pPr>
              <w:spacing w:after="0" w:line="240" w:lineRule="auto"/>
              <w:rPr>
                <w:rFonts w:eastAsia="Times New Roman" w:cs="Arial"/>
                <w:color w:val="000000"/>
                <w:kern w:val="0"/>
                <w:szCs w:val="20"/>
                <w:lang w:eastAsia="sl-SI"/>
                <w14:ligatures w14:val="none"/>
              </w:rPr>
            </w:pPr>
            <w:r w:rsidRPr="009A3BA8">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0B408F40" w14:textId="77777777" w:rsidR="00DE7CD9" w:rsidRPr="009A3BA8" w:rsidRDefault="00DE7CD9" w:rsidP="00DE7CD9">
            <w:pPr>
              <w:spacing w:after="0" w:line="240" w:lineRule="auto"/>
              <w:jc w:val="right"/>
              <w:rPr>
                <w:rFonts w:eastAsia="Times New Roman" w:cs="Arial"/>
                <w:kern w:val="0"/>
                <w:szCs w:val="20"/>
                <w:lang w:eastAsia="sl-SI"/>
                <w14:ligatures w14:val="none"/>
              </w:rPr>
            </w:pPr>
            <w:r w:rsidRPr="009A3BA8">
              <w:rPr>
                <w:rFonts w:eastAsia="Times New Roman" w:cs="Arial"/>
                <w:kern w:val="0"/>
                <w:szCs w:val="20"/>
                <w:lang w:eastAsia="sl-SI"/>
                <w14:ligatures w14:val="none"/>
              </w:rPr>
              <w:t>53.980.000</w:t>
            </w:r>
          </w:p>
        </w:tc>
        <w:tc>
          <w:tcPr>
            <w:tcW w:w="3694" w:type="dxa"/>
            <w:shd w:val="clear" w:color="auto" w:fill="auto"/>
            <w:noWrap/>
            <w:vAlign w:val="center"/>
            <w:hideMark/>
          </w:tcPr>
          <w:p w14:paraId="46C44644" w14:textId="12584AD6" w:rsidR="00DE7CD9" w:rsidRPr="0039614B" w:rsidRDefault="00996314" w:rsidP="00DE7CD9">
            <w:pPr>
              <w:spacing w:after="0" w:line="240" w:lineRule="auto"/>
              <w:jc w:val="right"/>
              <w:rPr>
                <w:rFonts w:eastAsia="Arial" w:cs="Arial"/>
                <w:szCs w:val="20"/>
              </w:rPr>
            </w:pPr>
            <w:r>
              <w:rPr>
                <w:rFonts w:cs="Arial"/>
              </w:rPr>
              <w:t>10.087.23</w:t>
            </w:r>
            <w:r w:rsidR="00801804">
              <w:rPr>
                <w:rFonts w:cs="Arial"/>
              </w:rPr>
              <w:t>5</w:t>
            </w:r>
          </w:p>
        </w:tc>
        <w:tc>
          <w:tcPr>
            <w:tcW w:w="2239" w:type="dxa"/>
            <w:shd w:val="clear" w:color="auto" w:fill="auto"/>
            <w:noWrap/>
            <w:vAlign w:val="center"/>
            <w:hideMark/>
          </w:tcPr>
          <w:p w14:paraId="72C88B7F" w14:textId="6E707FA6" w:rsidR="00DE7CD9" w:rsidRPr="009A3BA8" w:rsidRDefault="00996314" w:rsidP="00DE7CD9">
            <w:pPr>
              <w:spacing w:after="0" w:line="240" w:lineRule="auto"/>
              <w:jc w:val="right"/>
              <w:rPr>
                <w:rFonts w:eastAsia="Times New Roman" w:cs="Arial"/>
                <w:kern w:val="0"/>
                <w:szCs w:val="20"/>
                <w:lang w:eastAsia="sl-SI"/>
                <w14:ligatures w14:val="none"/>
              </w:rPr>
            </w:pPr>
            <w:r>
              <w:rPr>
                <w:rFonts w:cs="Arial"/>
              </w:rPr>
              <w:t>64.067.23</w:t>
            </w:r>
            <w:r w:rsidR="00801804">
              <w:rPr>
                <w:rFonts w:cs="Arial"/>
              </w:rPr>
              <w:t>5</w:t>
            </w:r>
          </w:p>
        </w:tc>
        <w:tc>
          <w:tcPr>
            <w:tcW w:w="2680" w:type="dxa"/>
            <w:shd w:val="clear" w:color="auto" w:fill="auto"/>
            <w:noWrap/>
            <w:vAlign w:val="bottom"/>
            <w:hideMark/>
          </w:tcPr>
          <w:p w14:paraId="129C7D74" w14:textId="7E191D72" w:rsidR="00DE7CD9" w:rsidRPr="009A3BA8" w:rsidRDefault="00DE7CD9" w:rsidP="00DE7CD9">
            <w:pPr>
              <w:spacing w:after="0" w:line="240" w:lineRule="auto"/>
              <w:rPr>
                <w:rFonts w:eastAsia="Times New Roman" w:cs="Arial"/>
                <w:color w:val="000000"/>
                <w:kern w:val="0"/>
                <w:szCs w:val="20"/>
                <w:lang w:eastAsia="sl-SI"/>
                <w14:ligatures w14:val="none"/>
              </w:rPr>
            </w:pPr>
            <w:r w:rsidRPr="009A3BA8">
              <w:rPr>
                <w:rFonts w:eastAsia="Times New Roman" w:cs="Arial"/>
                <w:color w:val="000000"/>
                <w:kern w:val="0"/>
                <w:szCs w:val="20"/>
                <w:lang w:eastAsia="sl-SI"/>
                <w14:ligatures w14:val="none"/>
              </w:rPr>
              <w:t>Umestitev ukrepov MDP</w:t>
            </w:r>
          </w:p>
        </w:tc>
      </w:tr>
      <w:tr w:rsidR="0022402B" w:rsidRPr="00986929" w14:paraId="0D584A30" w14:textId="77777777" w:rsidTr="00016F59">
        <w:trPr>
          <w:trHeight w:val="300"/>
        </w:trPr>
        <w:tc>
          <w:tcPr>
            <w:tcW w:w="423" w:type="dxa"/>
            <w:shd w:val="clear" w:color="auto" w:fill="auto"/>
            <w:noWrap/>
            <w:vAlign w:val="bottom"/>
            <w:hideMark/>
          </w:tcPr>
          <w:p w14:paraId="5343517C" w14:textId="77777777" w:rsidR="00DE7CD9" w:rsidRPr="009A3BA8" w:rsidRDefault="00DE7CD9" w:rsidP="00DE7CD9">
            <w:pPr>
              <w:spacing w:after="0" w:line="240" w:lineRule="auto"/>
              <w:rPr>
                <w:rFonts w:eastAsia="Times New Roman" w:cs="Arial"/>
                <w:color w:val="000000"/>
                <w:kern w:val="0"/>
                <w:szCs w:val="20"/>
                <w:lang w:eastAsia="sl-SI"/>
                <w14:ligatures w14:val="none"/>
              </w:rPr>
            </w:pPr>
            <w:r w:rsidRPr="009A3BA8">
              <w:rPr>
                <w:rFonts w:eastAsia="Times New Roman" w:cs="Arial"/>
                <w:color w:val="000000"/>
                <w:kern w:val="0"/>
                <w:szCs w:val="20"/>
                <w:lang w:eastAsia="sl-SI"/>
                <w14:ligatures w14:val="none"/>
              </w:rPr>
              <w:t>6</w:t>
            </w:r>
          </w:p>
        </w:tc>
        <w:tc>
          <w:tcPr>
            <w:tcW w:w="1223" w:type="dxa"/>
            <w:shd w:val="clear" w:color="auto" w:fill="auto"/>
            <w:noWrap/>
            <w:vAlign w:val="bottom"/>
            <w:hideMark/>
          </w:tcPr>
          <w:p w14:paraId="5899E76C" w14:textId="77777777" w:rsidR="00DE7CD9" w:rsidRPr="009A3BA8" w:rsidRDefault="00DE7CD9" w:rsidP="00DE7CD9">
            <w:pPr>
              <w:spacing w:after="0" w:line="240" w:lineRule="auto"/>
              <w:rPr>
                <w:rFonts w:eastAsia="Times New Roman" w:cs="Arial"/>
                <w:color w:val="000000"/>
                <w:kern w:val="0"/>
                <w:szCs w:val="20"/>
                <w:lang w:eastAsia="sl-SI"/>
                <w14:ligatures w14:val="none"/>
              </w:rPr>
            </w:pPr>
            <w:r w:rsidRPr="009A3BA8">
              <w:rPr>
                <w:rFonts w:eastAsia="Times New Roman" w:cs="Arial"/>
                <w:color w:val="000000"/>
                <w:kern w:val="0"/>
                <w:szCs w:val="20"/>
                <w:lang w:eastAsia="sl-SI"/>
                <w14:ligatures w14:val="none"/>
              </w:rPr>
              <w:t>ESO 4.7</w:t>
            </w:r>
          </w:p>
        </w:tc>
        <w:tc>
          <w:tcPr>
            <w:tcW w:w="996" w:type="dxa"/>
            <w:shd w:val="clear" w:color="auto" w:fill="auto"/>
            <w:noWrap/>
            <w:vAlign w:val="bottom"/>
            <w:hideMark/>
          </w:tcPr>
          <w:p w14:paraId="23501139" w14:textId="77777777" w:rsidR="00DE7CD9" w:rsidRPr="009A3BA8" w:rsidRDefault="00DE7CD9" w:rsidP="00DE7CD9">
            <w:pPr>
              <w:spacing w:after="0" w:line="240" w:lineRule="auto"/>
              <w:rPr>
                <w:rFonts w:eastAsia="Times New Roman" w:cs="Arial"/>
                <w:color w:val="000000"/>
                <w:kern w:val="0"/>
                <w:szCs w:val="20"/>
                <w:lang w:eastAsia="sl-SI"/>
                <w14:ligatures w14:val="none"/>
              </w:rPr>
            </w:pPr>
            <w:r w:rsidRPr="009A3BA8">
              <w:rPr>
                <w:rFonts w:eastAsia="Times New Roman" w:cs="Arial"/>
                <w:color w:val="000000"/>
                <w:kern w:val="0"/>
                <w:szCs w:val="20"/>
                <w:lang w:eastAsia="sl-SI"/>
                <w14:ligatures w14:val="none"/>
              </w:rPr>
              <w:t>ESS+</w:t>
            </w:r>
          </w:p>
        </w:tc>
        <w:tc>
          <w:tcPr>
            <w:tcW w:w="970" w:type="dxa"/>
            <w:shd w:val="clear" w:color="auto" w:fill="auto"/>
            <w:noWrap/>
            <w:vAlign w:val="bottom"/>
            <w:hideMark/>
          </w:tcPr>
          <w:p w14:paraId="51B17C44" w14:textId="77777777" w:rsidR="00DE7CD9" w:rsidRPr="009A3BA8" w:rsidRDefault="00DE7CD9" w:rsidP="00DE7CD9">
            <w:pPr>
              <w:spacing w:after="0" w:line="240" w:lineRule="auto"/>
              <w:rPr>
                <w:rFonts w:eastAsia="Times New Roman" w:cs="Arial"/>
                <w:color w:val="000000"/>
                <w:kern w:val="0"/>
                <w:szCs w:val="20"/>
                <w:lang w:eastAsia="sl-SI"/>
                <w14:ligatures w14:val="none"/>
              </w:rPr>
            </w:pPr>
            <w:r w:rsidRPr="009A3BA8">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20F91E43" w14:textId="77777777" w:rsidR="00DE7CD9" w:rsidRPr="009A3BA8" w:rsidRDefault="039BA832" w:rsidP="0A47B67B">
            <w:pPr>
              <w:spacing w:after="0" w:line="240" w:lineRule="auto"/>
              <w:jc w:val="right"/>
              <w:rPr>
                <w:rFonts w:eastAsia="Times New Roman" w:cs="Arial"/>
                <w:kern w:val="0"/>
                <w:lang w:eastAsia="sl-SI"/>
                <w14:ligatures w14:val="none"/>
              </w:rPr>
            </w:pPr>
            <w:r w:rsidRPr="0A47B67B">
              <w:rPr>
                <w:rFonts w:eastAsia="Times New Roman" w:cs="Arial"/>
                <w:kern w:val="0"/>
                <w:lang w:eastAsia="sl-SI"/>
                <w14:ligatures w14:val="none"/>
              </w:rPr>
              <w:t>15.988.500</w:t>
            </w:r>
          </w:p>
        </w:tc>
        <w:tc>
          <w:tcPr>
            <w:tcW w:w="3694" w:type="dxa"/>
            <w:shd w:val="clear" w:color="auto" w:fill="auto"/>
            <w:noWrap/>
            <w:vAlign w:val="bottom"/>
            <w:hideMark/>
          </w:tcPr>
          <w:p w14:paraId="100AB6DA" w14:textId="0CF4C2DC" w:rsidR="00DE7CD9" w:rsidRPr="0039614B" w:rsidRDefault="00DE7CD9" w:rsidP="00DE7CD9">
            <w:pPr>
              <w:spacing w:after="0" w:line="240" w:lineRule="auto"/>
              <w:jc w:val="right"/>
              <w:rPr>
                <w:rFonts w:eastAsia="Times New Roman" w:cs="Arial"/>
                <w:kern w:val="0"/>
                <w:lang w:eastAsia="sl-SI"/>
                <w14:ligatures w14:val="none"/>
              </w:rPr>
            </w:pPr>
          </w:p>
        </w:tc>
        <w:tc>
          <w:tcPr>
            <w:tcW w:w="2239" w:type="dxa"/>
            <w:shd w:val="clear" w:color="auto" w:fill="auto"/>
            <w:noWrap/>
            <w:vAlign w:val="center"/>
            <w:hideMark/>
          </w:tcPr>
          <w:p w14:paraId="061579C1" w14:textId="1589DC74" w:rsidR="00DE7CD9" w:rsidRPr="009A3BA8" w:rsidRDefault="00DE7CD9" w:rsidP="00DE7CD9">
            <w:pPr>
              <w:spacing w:after="0" w:line="240" w:lineRule="auto"/>
              <w:jc w:val="right"/>
              <w:rPr>
                <w:rFonts w:eastAsia="Times New Roman" w:cs="Arial"/>
                <w:kern w:val="0"/>
                <w:lang w:eastAsia="sl-SI"/>
                <w14:ligatures w14:val="none"/>
              </w:rPr>
            </w:pPr>
            <w:r w:rsidRPr="1AC5D105">
              <w:rPr>
                <w:rFonts w:cs="Arial"/>
              </w:rPr>
              <w:t>1</w:t>
            </w:r>
            <w:r w:rsidR="1D617237" w:rsidRPr="1AC5D105">
              <w:rPr>
                <w:rFonts w:cs="Arial"/>
              </w:rPr>
              <w:t>5</w:t>
            </w:r>
            <w:r w:rsidRPr="1AC5D105">
              <w:rPr>
                <w:rFonts w:cs="Arial"/>
              </w:rPr>
              <w:t>.</w:t>
            </w:r>
            <w:r w:rsidR="2C62C068" w:rsidRPr="1AC5D105">
              <w:rPr>
                <w:rFonts w:cs="Arial"/>
              </w:rPr>
              <w:t>988</w:t>
            </w:r>
            <w:r w:rsidRPr="1AC5D105">
              <w:rPr>
                <w:rFonts w:cs="Arial"/>
              </w:rPr>
              <w:t>.</w:t>
            </w:r>
            <w:r w:rsidR="477B509A" w:rsidRPr="1AC5D105">
              <w:rPr>
                <w:rFonts w:cs="Arial"/>
              </w:rPr>
              <w:t>500</w:t>
            </w:r>
          </w:p>
        </w:tc>
        <w:tc>
          <w:tcPr>
            <w:tcW w:w="2680" w:type="dxa"/>
            <w:shd w:val="clear" w:color="auto" w:fill="auto"/>
            <w:noWrap/>
            <w:vAlign w:val="bottom"/>
          </w:tcPr>
          <w:p w14:paraId="00EC8934" w14:textId="0EF8B69E" w:rsidR="00DE7CD9" w:rsidRPr="009A3BA8" w:rsidRDefault="00DE7CD9" w:rsidP="0A47B67B">
            <w:pPr>
              <w:spacing w:after="0" w:line="240" w:lineRule="auto"/>
              <w:rPr>
                <w:rFonts w:eastAsia="Times New Roman" w:cs="Arial"/>
                <w:color w:val="000000"/>
                <w:kern w:val="0"/>
                <w:lang w:eastAsia="sl-SI"/>
                <w14:ligatures w14:val="none"/>
              </w:rPr>
            </w:pPr>
          </w:p>
        </w:tc>
      </w:tr>
      <w:bookmarkEnd w:id="59"/>
      <w:tr w:rsidR="0022402B" w:rsidRPr="00986929" w14:paraId="1C485A31" w14:textId="77777777" w:rsidTr="00680842">
        <w:trPr>
          <w:trHeight w:val="300"/>
        </w:trPr>
        <w:tc>
          <w:tcPr>
            <w:tcW w:w="423" w:type="dxa"/>
            <w:shd w:val="clear" w:color="auto" w:fill="auto"/>
            <w:noWrap/>
            <w:vAlign w:val="bottom"/>
            <w:hideMark/>
          </w:tcPr>
          <w:p w14:paraId="0F22D30E"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6</w:t>
            </w:r>
          </w:p>
        </w:tc>
        <w:tc>
          <w:tcPr>
            <w:tcW w:w="1223" w:type="dxa"/>
            <w:shd w:val="clear" w:color="auto" w:fill="auto"/>
            <w:noWrap/>
            <w:vAlign w:val="bottom"/>
            <w:hideMark/>
          </w:tcPr>
          <w:p w14:paraId="4607873B"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4.2</w:t>
            </w:r>
          </w:p>
        </w:tc>
        <w:tc>
          <w:tcPr>
            <w:tcW w:w="996" w:type="dxa"/>
            <w:shd w:val="clear" w:color="auto" w:fill="auto"/>
            <w:noWrap/>
            <w:vAlign w:val="bottom"/>
            <w:hideMark/>
          </w:tcPr>
          <w:p w14:paraId="29DBBB0A"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6DA32D45"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280CAA93"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32.800.061</w:t>
            </w:r>
          </w:p>
        </w:tc>
        <w:tc>
          <w:tcPr>
            <w:tcW w:w="3694" w:type="dxa"/>
            <w:shd w:val="clear" w:color="auto" w:fill="auto"/>
            <w:noWrap/>
            <w:vAlign w:val="bottom"/>
            <w:hideMark/>
          </w:tcPr>
          <w:p w14:paraId="08F8A2A5" w14:textId="77777777" w:rsidR="00D33195" w:rsidRPr="0039614B" w:rsidRDefault="00D33195" w:rsidP="00F545BB">
            <w:pPr>
              <w:spacing w:after="0" w:line="240" w:lineRule="auto"/>
              <w:rPr>
                <w:rFonts w:eastAsia="Times New Roman" w:cs="Arial"/>
                <w:kern w:val="0"/>
                <w:szCs w:val="20"/>
                <w:lang w:eastAsia="sl-SI"/>
                <w14:ligatures w14:val="none"/>
              </w:rPr>
            </w:pPr>
            <w:r w:rsidRPr="0039614B">
              <w:rPr>
                <w:rFonts w:eastAsia="Times New Roman" w:cs="Arial"/>
                <w:kern w:val="0"/>
                <w:szCs w:val="20"/>
                <w:lang w:eastAsia="sl-SI"/>
                <w14:ligatures w14:val="none"/>
              </w:rPr>
              <w:t> </w:t>
            </w:r>
          </w:p>
        </w:tc>
        <w:tc>
          <w:tcPr>
            <w:tcW w:w="2239" w:type="dxa"/>
            <w:shd w:val="clear" w:color="auto" w:fill="auto"/>
            <w:noWrap/>
            <w:vAlign w:val="bottom"/>
            <w:hideMark/>
          </w:tcPr>
          <w:p w14:paraId="4584543B"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32.800.061</w:t>
            </w:r>
          </w:p>
        </w:tc>
        <w:tc>
          <w:tcPr>
            <w:tcW w:w="2680" w:type="dxa"/>
            <w:shd w:val="clear" w:color="auto" w:fill="auto"/>
            <w:noWrap/>
            <w:vAlign w:val="bottom"/>
            <w:hideMark/>
          </w:tcPr>
          <w:p w14:paraId="00A02F6F"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300C1373" w14:textId="77777777" w:rsidTr="00680842">
        <w:trPr>
          <w:trHeight w:val="300"/>
        </w:trPr>
        <w:tc>
          <w:tcPr>
            <w:tcW w:w="423" w:type="dxa"/>
            <w:shd w:val="clear" w:color="auto" w:fill="auto"/>
            <w:noWrap/>
            <w:vAlign w:val="bottom"/>
            <w:hideMark/>
          </w:tcPr>
          <w:p w14:paraId="1EB8CB5E"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7</w:t>
            </w:r>
          </w:p>
        </w:tc>
        <w:tc>
          <w:tcPr>
            <w:tcW w:w="1223" w:type="dxa"/>
            <w:shd w:val="clear" w:color="auto" w:fill="auto"/>
            <w:noWrap/>
            <w:vAlign w:val="bottom"/>
            <w:hideMark/>
          </w:tcPr>
          <w:p w14:paraId="325E91A7"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ESO 4.11</w:t>
            </w:r>
          </w:p>
        </w:tc>
        <w:tc>
          <w:tcPr>
            <w:tcW w:w="996" w:type="dxa"/>
            <w:shd w:val="clear" w:color="auto" w:fill="auto"/>
            <w:noWrap/>
            <w:vAlign w:val="bottom"/>
            <w:hideMark/>
          </w:tcPr>
          <w:p w14:paraId="71069436"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ESS+</w:t>
            </w:r>
          </w:p>
        </w:tc>
        <w:tc>
          <w:tcPr>
            <w:tcW w:w="970" w:type="dxa"/>
            <w:shd w:val="clear" w:color="auto" w:fill="auto"/>
            <w:noWrap/>
            <w:vAlign w:val="bottom"/>
            <w:hideMark/>
          </w:tcPr>
          <w:p w14:paraId="2470CA53"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160EA733"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79.698.001</w:t>
            </w:r>
          </w:p>
        </w:tc>
        <w:tc>
          <w:tcPr>
            <w:tcW w:w="3694" w:type="dxa"/>
            <w:shd w:val="clear" w:color="auto" w:fill="auto"/>
            <w:noWrap/>
            <w:vAlign w:val="bottom"/>
            <w:hideMark/>
          </w:tcPr>
          <w:p w14:paraId="4B310939"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333BA44D"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79.698.001</w:t>
            </w:r>
          </w:p>
        </w:tc>
        <w:tc>
          <w:tcPr>
            <w:tcW w:w="2680" w:type="dxa"/>
            <w:shd w:val="clear" w:color="auto" w:fill="auto"/>
            <w:noWrap/>
            <w:vAlign w:val="bottom"/>
            <w:hideMark/>
          </w:tcPr>
          <w:p w14:paraId="121AFA96"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60D93C73" w14:textId="77777777" w:rsidTr="00680842">
        <w:trPr>
          <w:trHeight w:val="300"/>
        </w:trPr>
        <w:tc>
          <w:tcPr>
            <w:tcW w:w="423" w:type="dxa"/>
            <w:shd w:val="clear" w:color="auto" w:fill="auto"/>
            <w:noWrap/>
            <w:vAlign w:val="bottom"/>
            <w:hideMark/>
          </w:tcPr>
          <w:p w14:paraId="5A52FD24"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7</w:t>
            </w:r>
          </w:p>
        </w:tc>
        <w:tc>
          <w:tcPr>
            <w:tcW w:w="1223" w:type="dxa"/>
            <w:shd w:val="clear" w:color="auto" w:fill="auto"/>
            <w:noWrap/>
            <w:vAlign w:val="bottom"/>
            <w:hideMark/>
          </w:tcPr>
          <w:p w14:paraId="3CC62A2A"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ESO 4.11</w:t>
            </w:r>
          </w:p>
        </w:tc>
        <w:tc>
          <w:tcPr>
            <w:tcW w:w="996" w:type="dxa"/>
            <w:shd w:val="clear" w:color="auto" w:fill="auto"/>
            <w:noWrap/>
            <w:vAlign w:val="bottom"/>
            <w:hideMark/>
          </w:tcPr>
          <w:p w14:paraId="194C702A"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ESS+</w:t>
            </w:r>
          </w:p>
        </w:tc>
        <w:tc>
          <w:tcPr>
            <w:tcW w:w="970" w:type="dxa"/>
            <w:shd w:val="clear" w:color="auto" w:fill="auto"/>
            <w:noWrap/>
            <w:vAlign w:val="bottom"/>
            <w:hideMark/>
          </w:tcPr>
          <w:p w14:paraId="2477CC1C"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22DE0146"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28.354.518</w:t>
            </w:r>
          </w:p>
        </w:tc>
        <w:tc>
          <w:tcPr>
            <w:tcW w:w="3694" w:type="dxa"/>
            <w:shd w:val="clear" w:color="auto" w:fill="auto"/>
            <w:noWrap/>
            <w:vAlign w:val="bottom"/>
            <w:hideMark/>
          </w:tcPr>
          <w:p w14:paraId="39E3AFA0"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6ED554C1"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28.354.518</w:t>
            </w:r>
          </w:p>
        </w:tc>
        <w:tc>
          <w:tcPr>
            <w:tcW w:w="2680" w:type="dxa"/>
            <w:shd w:val="clear" w:color="auto" w:fill="auto"/>
            <w:noWrap/>
            <w:vAlign w:val="bottom"/>
            <w:hideMark/>
          </w:tcPr>
          <w:p w14:paraId="092162D5"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03D0766F" w14:textId="77777777" w:rsidTr="00680842">
        <w:trPr>
          <w:trHeight w:val="300"/>
        </w:trPr>
        <w:tc>
          <w:tcPr>
            <w:tcW w:w="423" w:type="dxa"/>
            <w:shd w:val="clear" w:color="auto" w:fill="auto"/>
            <w:noWrap/>
            <w:vAlign w:val="bottom"/>
            <w:hideMark/>
          </w:tcPr>
          <w:p w14:paraId="08F0F507"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7</w:t>
            </w:r>
          </w:p>
        </w:tc>
        <w:tc>
          <w:tcPr>
            <w:tcW w:w="1223" w:type="dxa"/>
            <w:shd w:val="clear" w:color="auto" w:fill="auto"/>
            <w:noWrap/>
            <w:vAlign w:val="bottom"/>
            <w:hideMark/>
          </w:tcPr>
          <w:p w14:paraId="1EF4BA94"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ESO 4.12</w:t>
            </w:r>
          </w:p>
        </w:tc>
        <w:tc>
          <w:tcPr>
            <w:tcW w:w="996" w:type="dxa"/>
            <w:shd w:val="clear" w:color="auto" w:fill="auto"/>
            <w:noWrap/>
            <w:vAlign w:val="bottom"/>
            <w:hideMark/>
          </w:tcPr>
          <w:p w14:paraId="2DA6799D"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ESS+</w:t>
            </w:r>
          </w:p>
        </w:tc>
        <w:tc>
          <w:tcPr>
            <w:tcW w:w="970" w:type="dxa"/>
            <w:shd w:val="clear" w:color="auto" w:fill="auto"/>
            <w:noWrap/>
            <w:vAlign w:val="bottom"/>
            <w:hideMark/>
          </w:tcPr>
          <w:p w14:paraId="66943833"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5F3CF742"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44.329.000</w:t>
            </w:r>
          </w:p>
        </w:tc>
        <w:tc>
          <w:tcPr>
            <w:tcW w:w="3694" w:type="dxa"/>
            <w:shd w:val="clear" w:color="auto" w:fill="auto"/>
            <w:noWrap/>
            <w:vAlign w:val="bottom"/>
            <w:hideMark/>
          </w:tcPr>
          <w:p w14:paraId="40E68D0C"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67BDD8AD"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44.329.000</w:t>
            </w:r>
          </w:p>
        </w:tc>
        <w:tc>
          <w:tcPr>
            <w:tcW w:w="2680" w:type="dxa"/>
            <w:shd w:val="clear" w:color="auto" w:fill="auto"/>
            <w:noWrap/>
            <w:vAlign w:val="bottom"/>
            <w:hideMark/>
          </w:tcPr>
          <w:p w14:paraId="792E6473"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529977E5" w14:textId="77777777" w:rsidTr="00680842">
        <w:trPr>
          <w:trHeight w:val="300"/>
        </w:trPr>
        <w:tc>
          <w:tcPr>
            <w:tcW w:w="423" w:type="dxa"/>
            <w:shd w:val="clear" w:color="auto" w:fill="auto"/>
            <w:noWrap/>
            <w:vAlign w:val="bottom"/>
            <w:hideMark/>
          </w:tcPr>
          <w:p w14:paraId="6F5C2E1A"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7</w:t>
            </w:r>
          </w:p>
        </w:tc>
        <w:tc>
          <w:tcPr>
            <w:tcW w:w="1223" w:type="dxa"/>
            <w:shd w:val="clear" w:color="auto" w:fill="auto"/>
            <w:noWrap/>
            <w:vAlign w:val="bottom"/>
            <w:hideMark/>
          </w:tcPr>
          <w:p w14:paraId="3E619AF9"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ESO 4.12</w:t>
            </w:r>
          </w:p>
        </w:tc>
        <w:tc>
          <w:tcPr>
            <w:tcW w:w="996" w:type="dxa"/>
            <w:shd w:val="clear" w:color="auto" w:fill="auto"/>
            <w:noWrap/>
            <w:vAlign w:val="bottom"/>
            <w:hideMark/>
          </w:tcPr>
          <w:p w14:paraId="4183224A"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ESS+</w:t>
            </w:r>
          </w:p>
        </w:tc>
        <w:tc>
          <w:tcPr>
            <w:tcW w:w="970" w:type="dxa"/>
            <w:shd w:val="clear" w:color="auto" w:fill="auto"/>
            <w:noWrap/>
            <w:vAlign w:val="bottom"/>
            <w:hideMark/>
          </w:tcPr>
          <w:p w14:paraId="5EC756EF"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205EF7CD"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16.559.482</w:t>
            </w:r>
          </w:p>
        </w:tc>
        <w:tc>
          <w:tcPr>
            <w:tcW w:w="3694" w:type="dxa"/>
            <w:shd w:val="clear" w:color="auto" w:fill="auto"/>
            <w:noWrap/>
            <w:vAlign w:val="bottom"/>
            <w:hideMark/>
          </w:tcPr>
          <w:p w14:paraId="7655394E"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3E844A44"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16.559.482</w:t>
            </w:r>
          </w:p>
        </w:tc>
        <w:tc>
          <w:tcPr>
            <w:tcW w:w="2680" w:type="dxa"/>
            <w:shd w:val="clear" w:color="auto" w:fill="auto"/>
            <w:noWrap/>
            <w:vAlign w:val="bottom"/>
            <w:hideMark/>
          </w:tcPr>
          <w:p w14:paraId="7421DFF4"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4B1E35FC" w14:textId="77777777" w:rsidTr="00680842">
        <w:trPr>
          <w:trHeight w:val="300"/>
        </w:trPr>
        <w:tc>
          <w:tcPr>
            <w:tcW w:w="423" w:type="dxa"/>
            <w:shd w:val="clear" w:color="auto" w:fill="auto"/>
            <w:noWrap/>
            <w:vAlign w:val="bottom"/>
            <w:hideMark/>
          </w:tcPr>
          <w:p w14:paraId="64996787"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7</w:t>
            </w:r>
          </w:p>
        </w:tc>
        <w:tc>
          <w:tcPr>
            <w:tcW w:w="1223" w:type="dxa"/>
            <w:shd w:val="clear" w:color="auto" w:fill="auto"/>
            <w:noWrap/>
            <w:vAlign w:val="bottom"/>
            <w:hideMark/>
          </w:tcPr>
          <w:p w14:paraId="6C258FFD"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ESO 4.8</w:t>
            </w:r>
          </w:p>
        </w:tc>
        <w:tc>
          <w:tcPr>
            <w:tcW w:w="996" w:type="dxa"/>
            <w:shd w:val="clear" w:color="auto" w:fill="auto"/>
            <w:noWrap/>
            <w:vAlign w:val="bottom"/>
            <w:hideMark/>
          </w:tcPr>
          <w:p w14:paraId="7811D6F7"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ESS+</w:t>
            </w:r>
          </w:p>
        </w:tc>
        <w:tc>
          <w:tcPr>
            <w:tcW w:w="970" w:type="dxa"/>
            <w:shd w:val="clear" w:color="auto" w:fill="auto"/>
            <w:noWrap/>
            <w:vAlign w:val="bottom"/>
            <w:hideMark/>
          </w:tcPr>
          <w:p w14:paraId="5F70BDE3"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0331868F"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28.800.000</w:t>
            </w:r>
          </w:p>
        </w:tc>
        <w:tc>
          <w:tcPr>
            <w:tcW w:w="3694" w:type="dxa"/>
            <w:shd w:val="clear" w:color="auto" w:fill="auto"/>
            <w:noWrap/>
            <w:vAlign w:val="bottom"/>
            <w:hideMark/>
          </w:tcPr>
          <w:p w14:paraId="1E03CE4E"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130E3C37"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28.800.000</w:t>
            </w:r>
          </w:p>
        </w:tc>
        <w:tc>
          <w:tcPr>
            <w:tcW w:w="2680" w:type="dxa"/>
            <w:shd w:val="clear" w:color="auto" w:fill="auto"/>
            <w:noWrap/>
            <w:vAlign w:val="bottom"/>
            <w:hideMark/>
          </w:tcPr>
          <w:p w14:paraId="2428C51A"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1F8EFDC0" w14:textId="77777777" w:rsidTr="00680842">
        <w:trPr>
          <w:trHeight w:val="300"/>
        </w:trPr>
        <w:tc>
          <w:tcPr>
            <w:tcW w:w="423" w:type="dxa"/>
            <w:shd w:val="clear" w:color="auto" w:fill="auto"/>
            <w:noWrap/>
            <w:vAlign w:val="bottom"/>
            <w:hideMark/>
          </w:tcPr>
          <w:p w14:paraId="6109DF95"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7</w:t>
            </w:r>
          </w:p>
        </w:tc>
        <w:tc>
          <w:tcPr>
            <w:tcW w:w="1223" w:type="dxa"/>
            <w:shd w:val="clear" w:color="auto" w:fill="auto"/>
            <w:noWrap/>
            <w:vAlign w:val="bottom"/>
            <w:hideMark/>
          </w:tcPr>
          <w:p w14:paraId="52D34B91"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ESO 4.8</w:t>
            </w:r>
          </w:p>
        </w:tc>
        <w:tc>
          <w:tcPr>
            <w:tcW w:w="996" w:type="dxa"/>
            <w:shd w:val="clear" w:color="auto" w:fill="auto"/>
            <w:noWrap/>
            <w:vAlign w:val="bottom"/>
            <w:hideMark/>
          </w:tcPr>
          <w:p w14:paraId="0F06DDDC"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ESS+</w:t>
            </w:r>
          </w:p>
        </w:tc>
        <w:tc>
          <w:tcPr>
            <w:tcW w:w="970" w:type="dxa"/>
            <w:shd w:val="clear" w:color="auto" w:fill="auto"/>
            <w:noWrap/>
            <w:vAlign w:val="bottom"/>
            <w:hideMark/>
          </w:tcPr>
          <w:p w14:paraId="1579EEC8"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01CA286E"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7.140.000</w:t>
            </w:r>
          </w:p>
        </w:tc>
        <w:tc>
          <w:tcPr>
            <w:tcW w:w="3694" w:type="dxa"/>
            <w:shd w:val="clear" w:color="auto" w:fill="auto"/>
            <w:noWrap/>
            <w:vAlign w:val="bottom"/>
            <w:hideMark/>
          </w:tcPr>
          <w:p w14:paraId="437DB929"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49353263"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7.140.000</w:t>
            </w:r>
          </w:p>
        </w:tc>
        <w:tc>
          <w:tcPr>
            <w:tcW w:w="2680" w:type="dxa"/>
            <w:shd w:val="clear" w:color="auto" w:fill="auto"/>
            <w:noWrap/>
            <w:vAlign w:val="bottom"/>
            <w:hideMark/>
          </w:tcPr>
          <w:p w14:paraId="18DADE4D"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1CBFB570" w14:textId="77777777" w:rsidTr="00680842">
        <w:trPr>
          <w:trHeight w:val="300"/>
        </w:trPr>
        <w:tc>
          <w:tcPr>
            <w:tcW w:w="423" w:type="dxa"/>
            <w:shd w:val="clear" w:color="auto" w:fill="auto"/>
            <w:noWrap/>
            <w:vAlign w:val="bottom"/>
            <w:hideMark/>
          </w:tcPr>
          <w:p w14:paraId="4BA9770E"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7</w:t>
            </w:r>
          </w:p>
        </w:tc>
        <w:tc>
          <w:tcPr>
            <w:tcW w:w="1223" w:type="dxa"/>
            <w:shd w:val="clear" w:color="auto" w:fill="auto"/>
            <w:noWrap/>
            <w:vAlign w:val="bottom"/>
            <w:hideMark/>
          </w:tcPr>
          <w:p w14:paraId="3F4938CA"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4.3</w:t>
            </w:r>
          </w:p>
        </w:tc>
        <w:tc>
          <w:tcPr>
            <w:tcW w:w="996" w:type="dxa"/>
            <w:shd w:val="clear" w:color="auto" w:fill="auto"/>
            <w:noWrap/>
            <w:vAlign w:val="bottom"/>
            <w:hideMark/>
          </w:tcPr>
          <w:p w14:paraId="77147C04"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67E68F1A"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130CB6C8"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18.650.000</w:t>
            </w:r>
          </w:p>
        </w:tc>
        <w:tc>
          <w:tcPr>
            <w:tcW w:w="3694" w:type="dxa"/>
            <w:shd w:val="clear" w:color="auto" w:fill="auto"/>
            <w:noWrap/>
            <w:vAlign w:val="bottom"/>
            <w:hideMark/>
          </w:tcPr>
          <w:p w14:paraId="69CCE46E"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74643EA1"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18.650.000</w:t>
            </w:r>
          </w:p>
        </w:tc>
        <w:tc>
          <w:tcPr>
            <w:tcW w:w="2680" w:type="dxa"/>
            <w:shd w:val="clear" w:color="auto" w:fill="auto"/>
            <w:noWrap/>
            <w:vAlign w:val="bottom"/>
            <w:hideMark/>
          </w:tcPr>
          <w:p w14:paraId="44C38B31"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231C52C6" w14:textId="77777777" w:rsidTr="00680842">
        <w:trPr>
          <w:trHeight w:val="300"/>
        </w:trPr>
        <w:tc>
          <w:tcPr>
            <w:tcW w:w="423" w:type="dxa"/>
            <w:shd w:val="clear" w:color="auto" w:fill="auto"/>
            <w:noWrap/>
            <w:vAlign w:val="bottom"/>
            <w:hideMark/>
          </w:tcPr>
          <w:p w14:paraId="01A04CFA"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7</w:t>
            </w:r>
          </w:p>
        </w:tc>
        <w:tc>
          <w:tcPr>
            <w:tcW w:w="1223" w:type="dxa"/>
            <w:shd w:val="clear" w:color="auto" w:fill="auto"/>
            <w:noWrap/>
            <w:vAlign w:val="bottom"/>
            <w:hideMark/>
          </w:tcPr>
          <w:p w14:paraId="7DB5CAA3"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4.5</w:t>
            </w:r>
          </w:p>
        </w:tc>
        <w:tc>
          <w:tcPr>
            <w:tcW w:w="996" w:type="dxa"/>
            <w:shd w:val="clear" w:color="auto" w:fill="auto"/>
            <w:noWrap/>
            <w:vAlign w:val="bottom"/>
            <w:hideMark/>
          </w:tcPr>
          <w:p w14:paraId="422BDBC8"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279B63BF"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0F4E52EF"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58.780.000</w:t>
            </w:r>
          </w:p>
        </w:tc>
        <w:tc>
          <w:tcPr>
            <w:tcW w:w="3694" w:type="dxa"/>
            <w:shd w:val="clear" w:color="auto" w:fill="auto"/>
            <w:noWrap/>
            <w:vAlign w:val="bottom"/>
            <w:hideMark/>
          </w:tcPr>
          <w:p w14:paraId="4AD0454F"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32FFC12A"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58.780.000</w:t>
            </w:r>
          </w:p>
        </w:tc>
        <w:tc>
          <w:tcPr>
            <w:tcW w:w="2680" w:type="dxa"/>
            <w:shd w:val="clear" w:color="auto" w:fill="auto"/>
            <w:noWrap/>
            <w:vAlign w:val="bottom"/>
            <w:hideMark/>
          </w:tcPr>
          <w:p w14:paraId="18A23D74"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63BCD6B0" w14:textId="77777777" w:rsidTr="00680842">
        <w:trPr>
          <w:trHeight w:val="300"/>
        </w:trPr>
        <w:tc>
          <w:tcPr>
            <w:tcW w:w="423" w:type="dxa"/>
            <w:shd w:val="clear" w:color="auto" w:fill="auto"/>
            <w:noWrap/>
            <w:vAlign w:val="bottom"/>
            <w:hideMark/>
          </w:tcPr>
          <w:p w14:paraId="10A04249"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8</w:t>
            </w:r>
          </w:p>
        </w:tc>
        <w:tc>
          <w:tcPr>
            <w:tcW w:w="1223" w:type="dxa"/>
            <w:shd w:val="clear" w:color="auto" w:fill="auto"/>
            <w:noWrap/>
            <w:vAlign w:val="bottom"/>
            <w:hideMark/>
          </w:tcPr>
          <w:p w14:paraId="6F1BA184"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4.6</w:t>
            </w:r>
          </w:p>
        </w:tc>
        <w:tc>
          <w:tcPr>
            <w:tcW w:w="996" w:type="dxa"/>
            <w:shd w:val="clear" w:color="auto" w:fill="auto"/>
            <w:noWrap/>
            <w:vAlign w:val="bottom"/>
            <w:hideMark/>
          </w:tcPr>
          <w:p w14:paraId="12102B3C"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11574E07"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5D5922FB"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19.661.752</w:t>
            </w:r>
          </w:p>
        </w:tc>
        <w:tc>
          <w:tcPr>
            <w:tcW w:w="3694" w:type="dxa"/>
            <w:shd w:val="clear" w:color="auto" w:fill="auto"/>
            <w:noWrap/>
            <w:vAlign w:val="bottom"/>
            <w:hideMark/>
          </w:tcPr>
          <w:p w14:paraId="3F9FD91D"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725916E2"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19.661.752</w:t>
            </w:r>
          </w:p>
        </w:tc>
        <w:tc>
          <w:tcPr>
            <w:tcW w:w="2680" w:type="dxa"/>
            <w:shd w:val="clear" w:color="auto" w:fill="auto"/>
            <w:noWrap/>
            <w:vAlign w:val="bottom"/>
            <w:hideMark/>
          </w:tcPr>
          <w:p w14:paraId="5ECFC4C6"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2D335161" w14:textId="77777777" w:rsidTr="00680842">
        <w:trPr>
          <w:trHeight w:val="300"/>
        </w:trPr>
        <w:tc>
          <w:tcPr>
            <w:tcW w:w="423" w:type="dxa"/>
            <w:shd w:val="clear" w:color="auto" w:fill="auto"/>
            <w:noWrap/>
            <w:vAlign w:val="bottom"/>
            <w:hideMark/>
          </w:tcPr>
          <w:p w14:paraId="5E851A51"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9</w:t>
            </w:r>
          </w:p>
        </w:tc>
        <w:tc>
          <w:tcPr>
            <w:tcW w:w="1223" w:type="dxa"/>
            <w:shd w:val="clear" w:color="auto" w:fill="auto"/>
            <w:noWrap/>
            <w:vAlign w:val="bottom"/>
            <w:hideMark/>
          </w:tcPr>
          <w:p w14:paraId="334F8359"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5.1</w:t>
            </w:r>
          </w:p>
        </w:tc>
        <w:tc>
          <w:tcPr>
            <w:tcW w:w="996" w:type="dxa"/>
            <w:shd w:val="clear" w:color="auto" w:fill="auto"/>
            <w:noWrap/>
            <w:vAlign w:val="bottom"/>
            <w:hideMark/>
          </w:tcPr>
          <w:p w14:paraId="0C6EB2B8"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0DCAF7F7"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3E977E45"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44.760.000</w:t>
            </w:r>
          </w:p>
        </w:tc>
        <w:tc>
          <w:tcPr>
            <w:tcW w:w="3694" w:type="dxa"/>
            <w:shd w:val="clear" w:color="auto" w:fill="auto"/>
            <w:noWrap/>
            <w:vAlign w:val="bottom"/>
            <w:hideMark/>
          </w:tcPr>
          <w:p w14:paraId="54D3F81A"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62E1F1E2"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44.760.000</w:t>
            </w:r>
          </w:p>
        </w:tc>
        <w:tc>
          <w:tcPr>
            <w:tcW w:w="2680" w:type="dxa"/>
            <w:shd w:val="clear" w:color="auto" w:fill="auto"/>
            <w:noWrap/>
            <w:vAlign w:val="bottom"/>
            <w:hideMark/>
          </w:tcPr>
          <w:p w14:paraId="11094F49"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7DA74F87" w14:textId="77777777" w:rsidTr="00680842">
        <w:trPr>
          <w:trHeight w:val="300"/>
        </w:trPr>
        <w:tc>
          <w:tcPr>
            <w:tcW w:w="423" w:type="dxa"/>
            <w:shd w:val="clear" w:color="auto" w:fill="auto"/>
            <w:noWrap/>
            <w:vAlign w:val="bottom"/>
            <w:hideMark/>
          </w:tcPr>
          <w:p w14:paraId="24C5B003"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9</w:t>
            </w:r>
          </w:p>
        </w:tc>
        <w:tc>
          <w:tcPr>
            <w:tcW w:w="1223" w:type="dxa"/>
            <w:shd w:val="clear" w:color="auto" w:fill="auto"/>
            <w:noWrap/>
            <w:vAlign w:val="bottom"/>
            <w:hideMark/>
          </w:tcPr>
          <w:p w14:paraId="4EFE184A"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5.1</w:t>
            </w:r>
          </w:p>
        </w:tc>
        <w:tc>
          <w:tcPr>
            <w:tcW w:w="996" w:type="dxa"/>
            <w:shd w:val="clear" w:color="auto" w:fill="auto"/>
            <w:noWrap/>
            <w:vAlign w:val="bottom"/>
            <w:hideMark/>
          </w:tcPr>
          <w:p w14:paraId="04F6A761"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057FD536"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14232919"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12.330.000</w:t>
            </w:r>
          </w:p>
        </w:tc>
        <w:tc>
          <w:tcPr>
            <w:tcW w:w="3694" w:type="dxa"/>
            <w:shd w:val="clear" w:color="auto" w:fill="auto"/>
            <w:noWrap/>
            <w:vAlign w:val="bottom"/>
            <w:hideMark/>
          </w:tcPr>
          <w:p w14:paraId="23EC6B91"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3FE75817"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12.330.000</w:t>
            </w:r>
          </w:p>
        </w:tc>
        <w:tc>
          <w:tcPr>
            <w:tcW w:w="2680" w:type="dxa"/>
            <w:shd w:val="clear" w:color="auto" w:fill="auto"/>
            <w:noWrap/>
            <w:vAlign w:val="bottom"/>
            <w:hideMark/>
          </w:tcPr>
          <w:p w14:paraId="292B4FF6"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2D6AA928" w14:textId="77777777" w:rsidTr="00680842">
        <w:trPr>
          <w:trHeight w:val="300"/>
        </w:trPr>
        <w:tc>
          <w:tcPr>
            <w:tcW w:w="423" w:type="dxa"/>
            <w:shd w:val="clear" w:color="auto" w:fill="auto"/>
            <w:noWrap/>
            <w:vAlign w:val="bottom"/>
            <w:hideMark/>
          </w:tcPr>
          <w:p w14:paraId="16A2F2F8"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9</w:t>
            </w:r>
          </w:p>
        </w:tc>
        <w:tc>
          <w:tcPr>
            <w:tcW w:w="1223" w:type="dxa"/>
            <w:shd w:val="clear" w:color="auto" w:fill="auto"/>
            <w:noWrap/>
            <w:vAlign w:val="bottom"/>
            <w:hideMark/>
          </w:tcPr>
          <w:p w14:paraId="044FD091"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5.2</w:t>
            </w:r>
          </w:p>
        </w:tc>
        <w:tc>
          <w:tcPr>
            <w:tcW w:w="996" w:type="dxa"/>
            <w:shd w:val="clear" w:color="auto" w:fill="auto"/>
            <w:noWrap/>
            <w:vAlign w:val="bottom"/>
            <w:hideMark/>
          </w:tcPr>
          <w:p w14:paraId="0500EE32"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0FBEAB64"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Vzhod</w:t>
            </w:r>
          </w:p>
        </w:tc>
        <w:tc>
          <w:tcPr>
            <w:tcW w:w="1767" w:type="dxa"/>
            <w:shd w:val="clear" w:color="auto" w:fill="auto"/>
            <w:noWrap/>
            <w:vAlign w:val="bottom"/>
            <w:hideMark/>
          </w:tcPr>
          <w:p w14:paraId="20C1C9C9"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22.842.812</w:t>
            </w:r>
          </w:p>
        </w:tc>
        <w:tc>
          <w:tcPr>
            <w:tcW w:w="3694" w:type="dxa"/>
            <w:shd w:val="clear" w:color="auto" w:fill="auto"/>
            <w:noWrap/>
            <w:vAlign w:val="bottom"/>
            <w:hideMark/>
          </w:tcPr>
          <w:p w14:paraId="4566EF2C"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18F24BF2"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22.842.812</w:t>
            </w:r>
          </w:p>
        </w:tc>
        <w:tc>
          <w:tcPr>
            <w:tcW w:w="2680" w:type="dxa"/>
            <w:shd w:val="clear" w:color="auto" w:fill="auto"/>
            <w:noWrap/>
            <w:vAlign w:val="bottom"/>
            <w:hideMark/>
          </w:tcPr>
          <w:p w14:paraId="2258380A"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4A65AC4C" w14:textId="77777777" w:rsidTr="00680842">
        <w:trPr>
          <w:trHeight w:val="300"/>
        </w:trPr>
        <w:tc>
          <w:tcPr>
            <w:tcW w:w="423" w:type="dxa"/>
            <w:shd w:val="clear" w:color="auto" w:fill="auto"/>
            <w:noWrap/>
            <w:vAlign w:val="bottom"/>
            <w:hideMark/>
          </w:tcPr>
          <w:p w14:paraId="6FE82EFB"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9</w:t>
            </w:r>
          </w:p>
        </w:tc>
        <w:tc>
          <w:tcPr>
            <w:tcW w:w="1223" w:type="dxa"/>
            <w:shd w:val="clear" w:color="auto" w:fill="auto"/>
            <w:noWrap/>
            <w:vAlign w:val="bottom"/>
            <w:hideMark/>
          </w:tcPr>
          <w:p w14:paraId="395F5004"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RSO 5.2</w:t>
            </w:r>
          </w:p>
        </w:tc>
        <w:tc>
          <w:tcPr>
            <w:tcW w:w="996" w:type="dxa"/>
            <w:shd w:val="clear" w:color="auto" w:fill="auto"/>
            <w:noWrap/>
            <w:vAlign w:val="bottom"/>
            <w:hideMark/>
          </w:tcPr>
          <w:p w14:paraId="188D749C"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ESRR</w:t>
            </w:r>
          </w:p>
        </w:tc>
        <w:tc>
          <w:tcPr>
            <w:tcW w:w="970" w:type="dxa"/>
            <w:shd w:val="clear" w:color="auto" w:fill="auto"/>
            <w:noWrap/>
            <w:vAlign w:val="bottom"/>
            <w:hideMark/>
          </w:tcPr>
          <w:p w14:paraId="05BF3F45"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Zahod</w:t>
            </w:r>
          </w:p>
        </w:tc>
        <w:tc>
          <w:tcPr>
            <w:tcW w:w="1767" w:type="dxa"/>
            <w:shd w:val="clear" w:color="auto" w:fill="auto"/>
            <w:noWrap/>
            <w:vAlign w:val="bottom"/>
            <w:hideMark/>
          </w:tcPr>
          <w:p w14:paraId="14EAEF32"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5.297.973</w:t>
            </w:r>
          </w:p>
        </w:tc>
        <w:tc>
          <w:tcPr>
            <w:tcW w:w="3694" w:type="dxa"/>
            <w:shd w:val="clear" w:color="auto" w:fill="auto"/>
            <w:noWrap/>
            <w:vAlign w:val="bottom"/>
            <w:hideMark/>
          </w:tcPr>
          <w:p w14:paraId="13E6FC53"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1F6AC79C"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5.297.973</w:t>
            </w:r>
          </w:p>
        </w:tc>
        <w:tc>
          <w:tcPr>
            <w:tcW w:w="2680" w:type="dxa"/>
            <w:shd w:val="clear" w:color="auto" w:fill="auto"/>
            <w:noWrap/>
            <w:vAlign w:val="bottom"/>
            <w:hideMark/>
          </w:tcPr>
          <w:p w14:paraId="5E785BC6"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22DCBE26" w14:textId="77777777" w:rsidTr="00680842">
        <w:trPr>
          <w:trHeight w:val="300"/>
        </w:trPr>
        <w:tc>
          <w:tcPr>
            <w:tcW w:w="423" w:type="dxa"/>
            <w:shd w:val="clear" w:color="auto" w:fill="auto"/>
            <w:noWrap/>
            <w:vAlign w:val="bottom"/>
            <w:hideMark/>
          </w:tcPr>
          <w:p w14:paraId="398FB2A1"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10</w:t>
            </w:r>
          </w:p>
        </w:tc>
        <w:tc>
          <w:tcPr>
            <w:tcW w:w="1223" w:type="dxa"/>
            <w:shd w:val="clear" w:color="auto" w:fill="auto"/>
            <w:noWrap/>
            <w:vAlign w:val="bottom"/>
            <w:hideMark/>
          </w:tcPr>
          <w:p w14:paraId="58C4AE37"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JSO 8.1</w:t>
            </w:r>
          </w:p>
        </w:tc>
        <w:tc>
          <w:tcPr>
            <w:tcW w:w="996" w:type="dxa"/>
            <w:shd w:val="clear" w:color="auto" w:fill="auto"/>
            <w:noWrap/>
            <w:vAlign w:val="bottom"/>
            <w:hideMark/>
          </w:tcPr>
          <w:p w14:paraId="0C5C6B1F"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SPP</w:t>
            </w:r>
          </w:p>
        </w:tc>
        <w:tc>
          <w:tcPr>
            <w:tcW w:w="970" w:type="dxa"/>
            <w:shd w:val="clear" w:color="auto" w:fill="auto"/>
            <w:noWrap/>
            <w:vAlign w:val="bottom"/>
            <w:hideMark/>
          </w:tcPr>
          <w:p w14:paraId="50863065"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Celotna SI</w:t>
            </w:r>
          </w:p>
        </w:tc>
        <w:tc>
          <w:tcPr>
            <w:tcW w:w="1767" w:type="dxa"/>
            <w:shd w:val="clear" w:color="auto" w:fill="auto"/>
            <w:noWrap/>
            <w:vAlign w:val="bottom"/>
            <w:hideMark/>
          </w:tcPr>
          <w:p w14:paraId="46FB6C01"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248.773.600</w:t>
            </w:r>
          </w:p>
        </w:tc>
        <w:tc>
          <w:tcPr>
            <w:tcW w:w="3694" w:type="dxa"/>
            <w:shd w:val="clear" w:color="auto" w:fill="auto"/>
            <w:noWrap/>
            <w:vAlign w:val="bottom"/>
            <w:hideMark/>
          </w:tcPr>
          <w:p w14:paraId="366B4FFC" w14:textId="77777777" w:rsidR="00D33195" w:rsidRPr="00986929" w:rsidRDefault="00D33195" w:rsidP="00F545BB">
            <w:pPr>
              <w:spacing w:after="0" w:line="240" w:lineRule="auto"/>
              <w:rPr>
                <w:rFonts w:eastAsia="Times New Roman" w:cs="Arial"/>
                <w:kern w:val="0"/>
                <w:szCs w:val="20"/>
                <w:lang w:eastAsia="sl-SI"/>
                <w14:ligatures w14:val="none"/>
              </w:rPr>
            </w:pPr>
            <w:r w:rsidRPr="00986929">
              <w:rPr>
                <w:rFonts w:eastAsia="Times New Roman" w:cs="Arial"/>
                <w:kern w:val="0"/>
                <w:szCs w:val="20"/>
                <w:lang w:eastAsia="sl-SI"/>
                <w14:ligatures w14:val="none"/>
              </w:rPr>
              <w:t> </w:t>
            </w:r>
          </w:p>
        </w:tc>
        <w:tc>
          <w:tcPr>
            <w:tcW w:w="2239" w:type="dxa"/>
            <w:shd w:val="clear" w:color="auto" w:fill="auto"/>
            <w:noWrap/>
            <w:vAlign w:val="bottom"/>
            <w:hideMark/>
          </w:tcPr>
          <w:p w14:paraId="4DE8466B" w14:textId="77777777" w:rsidR="00D33195" w:rsidRPr="00986929" w:rsidRDefault="00D33195" w:rsidP="00F545BB">
            <w:pPr>
              <w:spacing w:after="0" w:line="240" w:lineRule="auto"/>
              <w:jc w:val="right"/>
              <w:rPr>
                <w:rFonts w:eastAsia="Times New Roman" w:cs="Arial"/>
                <w:kern w:val="0"/>
                <w:szCs w:val="20"/>
                <w:lang w:eastAsia="sl-SI"/>
                <w14:ligatures w14:val="none"/>
              </w:rPr>
            </w:pPr>
            <w:r w:rsidRPr="00986929">
              <w:rPr>
                <w:rFonts w:eastAsia="Times New Roman" w:cs="Arial"/>
                <w:kern w:val="0"/>
                <w:szCs w:val="20"/>
                <w:lang w:eastAsia="sl-SI"/>
                <w14:ligatures w14:val="none"/>
              </w:rPr>
              <w:t>248.773.600</w:t>
            </w:r>
          </w:p>
        </w:tc>
        <w:tc>
          <w:tcPr>
            <w:tcW w:w="2680" w:type="dxa"/>
            <w:shd w:val="clear" w:color="auto" w:fill="auto"/>
            <w:noWrap/>
            <w:vAlign w:val="bottom"/>
            <w:hideMark/>
          </w:tcPr>
          <w:p w14:paraId="62E268D6" w14:textId="77777777" w:rsidR="00D33195" w:rsidRPr="00986929" w:rsidRDefault="00D33195" w:rsidP="00F545BB">
            <w:pPr>
              <w:spacing w:after="0" w:line="240" w:lineRule="auto"/>
              <w:rPr>
                <w:rFonts w:eastAsia="Times New Roman" w:cs="Arial"/>
                <w:color w:val="000000"/>
                <w:kern w:val="0"/>
                <w:szCs w:val="20"/>
                <w:lang w:eastAsia="sl-SI"/>
                <w14:ligatures w14:val="none"/>
              </w:rPr>
            </w:pPr>
            <w:r w:rsidRPr="00986929">
              <w:rPr>
                <w:rFonts w:eastAsia="Times New Roman" w:cs="Arial"/>
                <w:color w:val="000000"/>
                <w:kern w:val="0"/>
                <w:szCs w:val="20"/>
                <w:lang w:eastAsia="sl-SI"/>
                <w14:ligatures w14:val="none"/>
              </w:rPr>
              <w:t> </w:t>
            </w:r>
          </w:p>
        </w:tc>
      </w:tr>
      <w:tr w:rsidR="0022402B" w:rsidRPr="00986929" w14:paraId="38207793" w14:textId="77777777" w:rsidTr="00680842">
        <w:trPr>
          <w:trHeight w:val="300"/>
        </w:trPr>
        <w:tc>
          <w:tcPr>
            <w:tcW w:w="3612" w:type="dxa"/>
            <w:gridSpan w:val="4"/>
            <w:shd w:val="clear" w:color="auto" w:fill="D9E1F2"/>
            <w:noWrap/>
            <w:vAlign w:val="bottom"/>
            <w:hideMark/>
          </w:tcPr>
          <w:p w14:paraId="09777A92" w14:textId="77777777" w:rsidR="00D33195" w:rsidRPr="00986929" w:rsidRDefault="00D33195" w:rsidP="00F545BB">
            <w:pPr>
              <w:spacing w:after="0" w:line="240" w:lineRule="auto"/>
              <w:jc w:val="right"/>
              <w:rPr>
                <w:rFonts w:eastAsia="Times New Roman" w:cs="Arial"/>
                <w:b/>
                <w:bCs/>
                <w:color w:val="000000"/>
                <w:kern w:val="0"/>
                <w:szCs w:val="20"/>
                <w:lang w:eastAsia="sl-SI"/>
                <w14:ligatures w14:val="none"/>
              </w:rPr>
            </w:pPr>
            <w:r w:rsidRPr="00986929">
              <w:rPr>
                <w:rFonts w:eastAsia="Times New Roman" w:cs="Arial"/>
                <w:b/>
                <w:bCs/>
                <w:color w:val="000000"/>
                <w:kern w:val="0"/>
                <w:szCs w:val="20"/>
                <w:lang w:eastAsia="sl-SI"/>
                <w14:ligatures w14:val="none"/>
              </w:rPr>
              <w:t>SKUPAJ</w:t>
            </w:r>
          </w:p>
        </w:tc>
        <w:tc>
          <w:tcPr>
            <w:tcW w:w="1767" w:type="dxa"/>
            <w:shd w:val="clear" w:color="auto" w:fill="D9E1F2"/>
            <w:noWrap/>
            <w:vAlign w:val="bottom"/>
            <w:hideMark/>
          </w:tcPr>
          <w:p w14:paraId="47A5E072" w14:textId="77777777" w:rsidR="00D33195" w:rsidRPr="00986929" w:rsidRDefault="00D33195" w:rsidP="00F545BB">
            <w:pPr>
              <w:spacing w:after="0" w:line="240" w:lineRule="auto"/>
              <w:jc w:val="right"/>
              <w:rPr>
                <w:rFonts w:eastAsia="Times New Roman" w:cs="Arial"/>
                <w:b/>
                <w:bCs/>
                <w:color w:val="000000"/>
                <w:kern w:val="0"/>
                <w:szCs w:val="20"/>
                <w:lang w:eastAsia="sl-SI"/>
                <w14:ligatures w14:val="none"/>
              </w:rPr>
            </w:pPr>
            <w:r w:rsidRPr="00986929">
              <w:rPr>
                <w:rFonts w:eastAsia="Times New Roman" w:cs="Arial"/>
                <w:b/>
                <w:bCs/>
                <w:color w:val="000000"/>
                <w:kern w:val="0"/>
                <w:szCs w:val="20"/>
                <w:lang w:eastAsia="sl-SI"/>
                <w14:ligatures w14:val="none"/>
              </w:rPr>
              <w:t>3.106.640.412</w:t>
            </w:r>
          </w:p>
        </w:tc>
        <w:tc>
          <w:tcPr>
            <w:tcW w:w="3694" w:type="dxa"/>
            <w:shd w:val="clear" w:color="auto" w:fill="D9E1F2"/>
            <w:noWrap/>
            <w:vAlign w:val="bottom"/>
            <w:hideMark/>
          </w:tcPr>
          <w:p w14:paraId="41A0521A" w14:textId="77777777" w:rsidR="00D33195" w:rsidRPr="00986929" w:rsidRDefault="00D33195" w:rsidP="00F545BB">
            <w:pPr>
              <w:spacing w:after="0" w:line="240" w:lineRule="auto"/>
              <w:jc w:val="right"/>
              <w:rPr>
                <w:rFonts w:eastAsia="Times New Roman" w:cs="Arial"/>
                <w:b/>
                <w:bCs/>
                <w:color w:val="000000"/>
                <w:kern w:val="0"/>
                <w:szCs w:val="20"/>
                <w:lang w:eastAsia="sl-SI"/>
                <w14:ligatures w14:val="none"/>
              </w:rPr>
            </w:pPr>
            <w:r w:rsidRPr="00986929">
              <w:rPr>
                <w:rFonts w:eastAsia="Times New Roman" w:cs="Arial"/>
                <w:b/>
                <w:bCs/>
                <w:color w:val="000000"/>
                <w:kern w:val="0"/>
                <w:szCs w:val="20"/>
                <w:lang w:eastAsia="sl-SI"/>
                <w14:ligatures w14:val="none"/>
              </w:rPr>
              <w:t> </w:t>
            </w:r>
          </w:p>
        </w:tc>
        <w:tc>
          <w:tcPr>
            <w:tcW w:w="2239" w:type="dxa"/>
            <w:shd w:val="clear" w:color="auto" w:fill="D9E1F2"/>
            <w:noWrap/>
            <w:vAlign w:val="bottom"/>
            <w:hideMark/>
          </w:tcPr>
          <w:p w14:paraId="3E7A7D5F" w14:textId="77777777" w:rsidR="00D33195" w:rsidRPr="00986929" w:rsidRDefault="00D33195" w:rsidP="00F545BB">
            <w:pPr>
              <w:spacing w:after="0" w:line="240" w:lineRule="auto"/>
              <w:jc w:val="right"/>
              <w:rPr>
                <w:rFonts w:eastAsia="Times New Roman" w:cs="Arial"/>
                <w:b/>
                <w:bCs/>
                <w:color w:val="000000"/>
                <w:kern w:val="0"/>
                <w:szCs w:val="20"/>
                <w:lang w:eastAsia="sl-SI"/>
                <w14:ligatures w14:val="none"/>
              </w:rPr>
            </w:pPr>
            <w:r w:rsidRPr="00986929">
              <w:rPr>
                <w:rFonts w:eastAsia="Times New Roman" w:cs="Arial"/>
                <w:b/>
                <w:bCs/>
                <w:color w:val="000000"/>
                <w:kern w:val="0"/>
                <w:szCs w:val="20"/>
                <w:lang w:eastAsia="sl-SI"/>
                <w14:ligatures w14:val="none"/>
              </w:rPr>
              <w:t>3.106.640.412</w:t>
            </w:r>
          </w:p>
        </w:tc>
        <w:tc>
          <w:tcPr>
            <w:tcW w:w="2680" w:type="dxa"/>
            <w:shd w:val="clear" w:color="auto" w:fill="auto"/>
            <w:noWrap/>
            <w:vAlign w:val="bottom"/>
            <w:hideMark/>
          </w:tcPr>
          <w:p w14:paraId="7C287BC0" w14:textId="77777777" w:rsidR="00D33195" w:rsidRPr="00986929" w:rsidRDefault="00D33195" w:rsidP="00F545BB">
            <w:pPr>
              <w:spacing w:after="0" w:line="240" w:lineRule="auto"/>
              <w:jc w:val="right"/>
              <w:rPr>
                <w:rFonts w:eastAsia="Times New Roman" w:cs="Arial"/>
                <w:b/>
                <w:bCs/>
                <w:color w:val="000000"/>
                <w:kern w:val="0"/>
                <w:szCs w:val="20"/>
                <w:lang w:eastAsia="sl-SI"/>
                <w14:ligatures w14:val="none"/>
              </w:rPr>
            </w:pPr>
          </w:p>
        </w:tc>
      </w:tr>
    </w:tbl>
    <w:p w14:paraId="2D4DBD6E" w14:textId="1BF55EBE" w:rsidR="00D33195" w:rsidRPr="00D33195" w:rsidRDefault="00D33195" w:rsidP="00D33195">
      <w:pPr>
        <w:sectPr w:rsidR="00D33195" w:rsidRPr="00D33195" w:rsidSect="00E00C61">
          <w:pgSz w:w="16838" w:h="11906" w:orient="landscape"/>
          <w:pgMar w:top="1418" w:right="1418" w:bottom="1418" w:left="1418" w:header="709" w:footer="709" w:gutter="0"/>
          <w:cols w:space="708"/>
          <w:docGrid w:linePitch="360"/>
        </w:sectPr>
      </w:pPr>
    </w:p>
    <w:p w14:paraId="1B0D7F2B" w14:textId="48434A55" w:rsidR="002E1975" w:rsidRPr="002E1975" w:rsidRDefault="00E016AD" w:rsidP="00E5086D">
      <w:pPr>
        <w:pStyle w:val="Naslov1"/>
      </w:pPr>
      <w:bookmarkStart w:id="60" w:name="_Toc187154461"/>
      <w:bookmarkStart w:id="61" w:name="_Toc191383855"/>
      <w:r w:rsidRPr="002E1975">
        <w:lastRenderedPageBreak/>
        <w:t>CILJI POLITIK</w:t>
      </w:r>
      <w:bookmarkEnd w:id="60"/>
      <w:r>
        <w:t xml:space="preserve"> – PREGLED VSEBINSKIH SPREMEMB</w:t>
      </w:r>
      <w:bookmarkEnd w:id="61"/>
    </w:p>
    <w:p w14:paraId="6FD44D0A" w14:textId="77777777" w:rsidR="002E1975" w:rsidRPr="002E1975" w:rsidRDefault="002E1975" w:rsidP="002E1975">
      <w:pPr>
        <w:spacing w:after="0"/>
      </w:pPr>
    </w:p>
    <w:p w14:paraId="53E67002" w14:textId="262F59DF" w:rsidR="008F3668" w:rsidRDefault="002E1975" w:rsidP="00446D40">
      <w:pPr>
        <w:pStyle w:val="Naslov2"/>
        <w:numPr>
          <w:ilvl w:val="1"/>
          <w:numId w:val="2"/>
        </w:numPr>
      </w:pPr>
      <w:r w:rsidRPr="002E1975">
        <w:t xml:space="preserve"> </w:t>
      </w:r>
      <w:bookmarkStart w:id="62" w:name="_Toc191383856"/>
      <w:bookmarkStart w:id="63" w:name="_Toc187154462"/>
      <w:r w:rsidR="008F3668" w:rsidRPr="002E1975">
        <w:t>Cilj politike 1: Konkurenčnejša in pametnejša Slovenija s spodbujanjem inovativne in pametne gospodarske preobrazbe ter regionalne povezljivosti na področju IKT</w:t>
      </w:r>
      <w:bookmarkEnd w:id="62"/>
    </w:p>
    <w:p w14:paraId="532A24B7" w14:textId="77777777" w:rsidR="008F3668" w:rsidRPr="00737259" w:rsidRDefault="008F3668" w:rsidP="008F3668">
      <w:pPr>
        <w:spacing w:after="0"/>
        <w:rPr>
          <w:color w:val="4472C4" w:themeColor="accent1"/>
        </w:rPr>
      </w:pPr>
    </w:p>
    <w:p w14:paraId="39A0AC40" w14:textId="318DF6C2" w:rsidR="008F3668" w:rsidRPr="00737259" w:rsidRDefault="008F3668" w:rsidP="00446D40">
      <w:pPr>
        <w:pStyle w:val="Naslov3"/>
        <w:numPr>
          <w:ilvl w:val="2"/>
          <w:numId w:val="2"/>
        </w:numPr>
        <w:rPr>
          <w:color w:val="4472C4" w:themeColor="accent1"/>
        </w:rPr>
      </w:pPr>
      <w:bookmarkStart w:id="64" w:name="_Toc191383857"/>
      <w:r w:rsidRPr="00737259">
        <w:rPr>
          <w:color w:val="4472C4" w:themeColor="accent1"/>
        </w:rPr>
        <w:t>RSO1.1 Razvoj in izboljšanje raziskovalne in inovacijske zmogljivosti ter uvajanje naprednih tehnologij (ESRR)</w:t>
      </w:r>
      <w:bookmarkEnd w:id="64"/>
    </w:p>
    <w:p w14:paraId="6D2B5F49" w14:textId="77777777" w:rsidR="008F3668" w:rsidRPr="008F3668" w:rsidRDefault="008F3668" w:rsidP="008F3668">
      <w:pPr>
        <w:spacing w:after="0"/>
      </w:pPr>
    </w:p>
    <w:p w14:paraId="7E44EEB3" w14:textId="00540B41" w:rsidR="008F3668" w:rsidRPr="00EA5D41" w:rsidRDefault="008F3668" w:rsidP="00446D40">
      <w:pPr>
        <w:numPr>
          <w:ilvl w:val="0"/>
          <w:numId w:val="11"/>
        </w:numPr>
        <w:autoSpaceDE w:val="0"/>
        <w:autoSpaceDN w:val="0"/>
        <w:adjustRightInd w:val="0"/>
        <w:spacing w:after="0" w:line="240" w:lineRule="auto"/>
        <w:contextualSpacing/>
        <w:jc w:val="both"/>
        <w:rPr>
          <w:rFonts w:cstheme="minorHAnsi"/>
          <w:kern w:val="0"/>
        </w:rPr>
      </w:pPr>
      <w:r w:rsidRPr="00EA5D41">
        <w:rPr>
          <w:rFonts w:cstheme="minorHAnsi"/>
          <w:b/>
          <w:bCs/>
          <w:kern w:val="0"/>
          <w:u w:val="single"/>
        </w:rPr>
        <w:t>Sprememba opisa ukrepa</w:t>
      </w:r>
      <w:r w:rsidRPr="00EA5D41">
        <w:rPr>
          <w:rFonts w:cstheme="minorHAnsi"/>
          <w:kern w:val="0"/>
        </w:rPr>
        <w:t xml:space="preserve">: pri ukrepu področje delovanja v evropskem raziskovalnem prostoru, se zadnji stavek … »nadaljevanja izbranih ERC projektov (ERC </w:t>
      </w:r>
      <w:proofErr w:type="spellStart"/>
      <w:r w:rsidRPr="00EA5D41">
        <w:rPr>
          <w:rFonts w:cstheme="minorHAnsi"/>
          <w:kern w:val="0"/>
        </w:rPr>
        <w:t>Exit</w:t>
      </w:r>
      <w:proofErr w:type="spellEnd"/>
      <w:r w:rsidRPr="00EA5D41">
        <w:rPr>
          <w:rFonts w:cstheme="minorHAnsi"/>
          <w:kern w:val="0"/>
        </w:rPr>
        <w:t xml:space="preserve">)«, nadomesti z..« »vzpostavitve nacionalne raziskovalne infrastrukture za </w:t>
      </w:r>
      <w:proofErr w:type="spellStart"/>
      <w:r w:rsidRPr="00EA5D41">
        <w:rPr>
          <w:rFonts w:cstheme="minorHAnsi"/>
          <w:kern w:val="0"/>
        </w:rPr>
        <w:t>sekvenciranje</w:t>
      </w:r>
      <w:proofErr w:type="spellEnd"/>
      <w:r w:rsidRPr="00EA5D41">
        <w:rPr>
          <w:rFonts w:cstheme="minorHAnsi"/>
          <w:kern w:val="0"/>
        </w:rPr>
        <w:t xml:space="preserve"> genomov, v skladu z evropsko pobudo “1+million genomov”« </w:t>
      </w:r>
    </w:p>
    <w:p w14:paraId="35864D94" w14:textId="77777777" w:rsidR="008F3668" w:rsidRPr="00EA5D41" w:rsidRDefault="008F3668" w:rsidP="008F3668">
      <w:pPr>
        <w:autoSpaceDE w:val="0"/>
        <w:autoSpaceDN w:val="0"/>
        <w:adjustRightInd w:val="0"/>
        <w:spacing w:after="0" w:line="240" w:lineRule="auto"/>
        <w:jc w:val="both"/>
        <w:rPr>
          <w:rFonts w:cstheme="minorHAnsi"/>
          <w:kern w:val="0"/>
        </w:rPr>
      </w:pPr>
    </w:p>
    <w:p w14:paraId="7C5AE6AD" w14:textId="77777777" w:rsidR="008F3668" w:rsidRPr="00C13D02" w:rsidRDefault="008F3668" w:rsidP="008F3668">
      <w:pPr>
        <w:autoSpaceDE w:val="0"/>
        <w:autoSpaceDN w:val="0"/>
        <w:adjustRightInd w:val="0"/>
        <w:spacing w:after="0" w:line="240" w:lineRule="auto"/>
        <w:jc w:val="both"/>
        <w:rPr>
          <w:rFonts w:cstheme="minorHAnsi"/>
          <w:kern w:val="0"/>
        </w:rPr>
      </w:pPr>
      <w:r w:rsidRPr="00EA5D41">
        <w:rPr>
          <w:rFonts w:cstheme="minorHAnsi"/>
          <w:kern w:val="0"/>
          <w:u w:val="single"/>
        </w:rPr>
        <w:t>Obrazložitev</w:t>
      </w:r>
      <w:r w:rsidRPr="00EA5D41">
        <w:rPr>
          <w:rFonts w:cstheme="minorHAnsi"/>
          <w:kern w:val="0"/>
        </w:rPr>
        <w:t xml:space="preserve">: Tekom izvajanja se je MVZI odločil, da bo financiranje izbranih programov ERC financiral iz integralnih sredstev, hkrati pa je ukrep za financiranje v okviru SC 1.1. nadomestil z ukrepom vzpostavitve nacionalne raziskovalne infrastrukture za </w:t>
      </w:r>
      <w:proofErr w:type="spellStart"/>
      <w:r w:rsidRPr="00EA5D41">
        <w:rPr>
          <w:rFonts w:cstheme="minorHAnsi"/>
          <w:kern w:val="0"/>
        </w:rPr>
        <w:t>sekvenciranje</w:t>
      </w:r>
      <w:proofErr w:type="spellEnd"/>
      <w:r w:rsidRPr="00EA5D41">
        <w:rPr>
          <w:rFonts w:cstheme="minorHAnsi"/>
          <w:kern w:val="0"/>
        </w:rPr>
        <w:t xml:space="preserve"> genomov, z namenom pridobivanja nacionalnega referenčnega genoma zdrave populacije, v skladu z evropsko pobudo “1+milijon genomov (1+MG), kamor je vključena tudi Slovenija.</w:t>
      </w:r>
    </w:p>
    <w:p w14:paraId="465078BA" w14:textId="77777777" w:rsidR="008F3668" w:rsidRPr="00C13D02" w:rsidRDefault="008F3668" w:rsidP="008F3668">
      <w:pPr>
        <w:autoSpaceDE w:val="0"/>
        <w:autoSpaceDN w:val="0"/>
        <w:adjustRightInd w:val="0"/>
        <w:spacing w:after="0" w:line="240" w:lineRule="auto"/>
        <w:jc w:val="both"/>
        <w:rPr>
          <w:rFonts w:cstheme="minorHAnsi"/>
          <w:kern w:val="0"/>
        </w:rPr>
      </w:pPr>
    </w:p>
    <w:p w14:paraId="5E3BE32D" w14:textId="69A065C0" w:rsidR="003975C0" w:rsidRDefault="003975C0" w:rsidP="000B3E1A">
      <w:pPr>
        <w:pStyle w:val="Brezrazmikov"/>
        <w:numPr>
          <w:ilvl w:val="0"/>
          <w:numId w:val="11"/>
        </w:numPr>
        <w:jc w:val="both"/>
      </w:pPr>
      <w:r w:rsidRPr="00932601">
        <w:rPr>
          <w:b/>
          <w:bCs/>
          <w:u w:val="single"/>
        </w:rPr>
        <w:t>Sprememba višine ukrepov</w:t>
      </w:r>
      <w:r>
        <w:t xml:space="preserve">: Nižanje </w:t>
      </w:r>
      <w:r w:rsidR="00E01981">
        <w:t>ukrepov</w:t>
      </w:r>
      <w:r>
        <w:t xml:space="preserve"> »</w:t>
      </w:r>
      <w:r w:rsidR="00E01981" w:rsidRPr="00E01981">
        <w:t>DEMO/PILOTI</w:t>
      </w:r>
      <w:r>
        <w:t>«, »</w:t>
      </w:r>
      <w:r w:rsidR="00E01981">
        <w:t>RRI</w:t>
      </w:r>
      <w:r>
        <w:t>«</w:t>
      </w:r>
      <w:r w:rsidR="00E01981">
        <w:t xml:space="preserve"> in</w:t>
      </w:r>
      <w:r>
        <w:t xml:space="preserve"> »</w:t>
      </w:r>
      <w:r w:rsidR="00E01981" w:rsidRPr="00E01981">
        <w:t>Raziskovalci v gospodarstvu</w:t>
      </w:r>
      <w:r>
        <w:t>«</w:t>
      </w:r>
      <w:r w:rsidR="00E01981">
        <w:t>,</w:t>
      </w:r>
      <w:r>
        <w:t xml:space="preserve"> ki se jih prenese na nov SC RSO1.6 za namene STEP. </w:t>
      </w:r>
    </w:p>
    <w:p w14:paraId="3A870ED0" w14:textId="77777777" w:rsidR="003975C0" w:rsidRDefault="003975C0" w:rsidP="003975C0">
      <w:pPr>
        <w:pStyle w:val="Brezrazmikov"/>
        <w:jc w:val="both"/>
      </w:pPr>
    </w:p>
    <w:p w14:paraId="6A5016C1" w14:textId="4260D116" w:rsidR="003975C0" w:rsidRDefault="003975C0" w:rsidP="003975C0">
      <w:pPr>
        <w:pStyle w:val="Brezrazmikov"/>
        <w:jc w:val="both"/>
      </w:pPr>
      <w:r w:rsidRPr="00932601">
        <w:rPr>
          <w:u w:val="single"/>
        </w:rPr>
        <w:t>Obrazložitev</w:t>
      </w:r>
      <w:r>
        <w:t xml:space="preserve">: </w:t>
      </w:r>
      <w:r w:rsidR="00DA2958">
        <w:t>V</w:t>
      </w:r>
      <w:r>
        <w:t xml:space="preserve">išina ukrepov se zniža </w:t>
      </w:r>
      <w:r w:rsidRPr="0021152F">
        <w:t>zaradi prenosa sredstev na nov SC RSO1.6 za namene STEP</w:t>
      </w:r>
      <w:r>
        <w:t>.</w:t>
      </w:r>
    </w:p>
    <w:p w14:paraId="137CBB72" w14:textId="77777777" w:rsidR="003975C0" w:rsidRPr="000B3E1A" w:rsidRDefault="003975C0" w:rsidP="000F4CBC">
      <w:pPr>
        <w:autoSpaceDE w:val="0"/>
        <w:autoSpaceDN w:val="0"/>
        <w:adjustRightInd w:val="0"/>
        <w:spacing w:after="0" w:line="240" w:lineRule="auto"/>
        <w:contextualSpacing/>
        <w:jc w:val="both"/>
        <w:rPr>
          <w:rFonts w:cstheme="minorHAnsi"/>
          <w:kern w:val="0"/>
        </w:rPr>
      </w:pPr>
    </w:p>
    <w:p w14:paraId="6507494D" w14:textId="60896F39" w:rsidR="00A71602" w:rsidRDefault="00A71602" w:rsidP="00446D40">
      <w:pPr>
        <w:numPr>
          <w:ilvl w:val="0"/>
          <w:numId w:val="11"/>
        </w:numPr>
        <w:autoSpaceDE w:val="0"/>
        <w:autoSpaceDN w:val="0"/>
        <w:adjustRightInd w:val="0"/>
        <w:spacing w:after="0" w:line="240" w:lineRule="auto"/>
        <w:contextualSpacing/>
        <w:jc w:val="both"/>
        <w:rPr>
          <w:rFonts w:cstheme="minorHAnsi"/>
          <w:kern w:val="0"/>
        </w:rPr>
      </w:pPr>
      <w:r w:rsidRPr="000B3E1A">
        <w:rPr>
          <w:rFonts w:cstheme="minorHAnsi"/>
          <w:b/>
          <w:bCs/>
          <w:kern w:val="0"/>
          <w:u w:val="single"/>
        </w:rPr>
        <w:t>Sprememba kazalnikov učinka RCO01, RCO02 in RCO03</w:t>
      </w:r>
      <w:r>
        <w:rPr>
          <w:rFonts w:cstheme="minorHAnsi"/>
          <w:kern w:val="0"/>
        </w:rPr>
        <w:t xml:space="preserve">: </w:t>
      </w:r>
    </w:p>
    <w:p w14:paraId="1BFC2C60" w14:textId="40401AFD" w:rsidR="00B84B13" w:rsidRPr="00B84B13" w:rsidRDefault="00B84B13" w:rsidP="009469ED">
      <w:pPr>
        <w:pStyle w:val="Odstavekseznama"/>
        <w:autoSpaceDE w:val="0"/>
        <w:autoSpaceDN w:val="0"/>
        <w:adjustRightInd w:val="0"/>
        <w:spacing w:after="0" w:line="240" w:lineRule="auto"/>
        <w:ind w:left="360"/>
        <w:jc w:val="both"/>
        <w:rPr>
          <w:rFonts w:cstheme="minorHAnsi"/>
          <w:kern w:val="0"/>
        </w:rPr>
      </w:pPr>
      <w:bookmarkStart w:id="65" w:name="_Hlk188505083"/>
      <w:r w:rsidRPr="00B84B13">
        <w:rPr>
          <w:rFonts w:cstheme="minorHAnsi"/>
          <w:kern w:val="0"/>
        </w:rPr>
        <w:t xml:space="preserve">Podjetja, ki so prejela podporo (od tega: </w:t>
      </w:r>
      <w:proofErr w:type="spellStart"/>
      <w:r w:rsidRPr="00B84B13">
        <w:rPr>
          <w:rFonts w:cstheme="minorHAnsi"/>
          <w:kern w:val="0"/>
        </w:rPr>
        <w:t>mikro</w:t>
      </w:r>
      <w:proofErr w:type="spellEnd"/>
      <w:r w:rsidRPr="00B84B13">
        <w:rPr>
          <w:rFonts w:cstheme="minorHAnsi"/>
          <w:kern w:val="0"/>
        </w:rPr>
        <w:t>, mala, srednja, velika) (bolj razvite regije), kjer se ciljna vrednost zmanjša za 66 na novo ciljno vrednost 134.</w:t>
      </w:r>
    </w:p>
    <w:p w14:paraId="343F302C" w14:textId="77777777" w:rsidR="00B84B13" w:rsidRPr="00B84B13" w:rsidRDefault="00B84B13" w:rsidP="009469ED">
      <w:pPr>
        <w:pStyle w:val="Odstavekseznama"/>
        <w:autoSpaceDE w:val="0"/>
        <w:autoSpaceDN w:val="0"/>
        <w:adjustRightInd w:val="0"/>
        <w:spacing w:after="0" w:line="240" w:lineRule="auto"/>
        <w:ind w:left="360"/>
        <w:jc w:val="both"/>
        <w:rPr>
          <w:rFonts w:cstheme="minorHAnsi"/>
          <w:kern w:val="0"/>
        </w:rPr>
      </w:pPr>
    </w:p>
    <w:p w14:paraId="2E34CE59" w14:textId="77777777" w:rsidR="00B84B13" w:rsidRDefault="00B84B13" w:rsidP="00B84B13">
      <w:pPr>
        <w:pStyle w:val="Odstavekseznama"/>
        <w:autoSpaceDE w:val="0"/>
        <w:autoSpaceDN w:val="0"/>
        <w:adjustRightInd w:val="0"/>
        <w:spacing w:after="0" w:line="240" w:lineRule="auto"/>
        <w:ind w:left="360"/>
        <w:jc w:val="both"/>
        <w:rPr>
          <w:rFonts w:cstheme="minorHAnsi"/>
          <w:kern w:val="0"/>
        </w:rPr>
      </w:pPr>
      <w:r w:rsidRPr="00B84B13">
        <w:rPr>
          <w:rFonts w:cstheme="minorHAnsi"/>
          <w:kern w:val="0"/>
        </w:rPr>
        <w:t xml:space="preserve">Podjetja, ki so prejela podporo (od tega: </w:t>
      </w:r>
      <w:proofErr w:type="spellStart"/>
      <w:r w:rsidRPr="00B84B13">
        <w:rPr>
          <w:rFonts w:cstheme="minorHAnsi"/>
          <w:kern w:val="0"/>
        </w:rPr>
        <w:t>mikro</w:t>
      </w:r>
      <w:proofErr w:type="spellEnd"/>
      <w:r w:rsidRPr="00B84B13">
        <w:rPr>
          <w:rFonts w:cstheme="minorHAnsi"/>
          <w:kern w:val="0"/>
        </w:rPr>
        <w:t xml:space="preserve">, mala, srednja, velika) (manj razvite regije), kjer se </w:t>
      </w:r>
    </w:p>
    <w:p w14:paraId="7727E4E4" w14:textId="21D61D75" w:rsidR="00B84B13" w:rsidRPr="00B84B13" w:rsidRDefault="00B84B13" w:rsidP="009469ED">
      <w:pPr>
        <w:pStyle w:val="Odstavekseznama"/>
        <w:autoSpaceDE w:val="0"/>
        <w:autoSpaceDN w:val="0"/>
        <w:adjustRightInd w:val="0"/>
        <w:spacing w:after="0" w:line="240" w:lineRule="auto"/>
        <w:ind w:left="360"/>
        <w:jc w:val="both"/>
        <w:rPr>
          <w:rFonts w:cstheme="minorHAnsi"/>
          <w:kern w:val="0"/>
        </w:rPr>
      </w:pPr>
      <w:r w:rsidRPr="00B84B13">
        <w:rPr>
          <w:rFonts w:cstheme="minorHAnsi"/>
          <w:kern w:val="0"/>
        </w:rPr>
        <w:t>ciljna vrednost zmanjša za 133 na novo ciljno vrednost 198.</w:t>
      </w:r>
    </w:p>
    <w:p w14:paraId="50850805" w14:textId="77777777" w:rsidR="00B84B13" w:rsidRPr="00B84B13" w:rsidRDefault="00B84B13" w:rsidP="009469ED">
      <w:pPr>
        <w:pStyle w:val="Odstavekseznama"/>
        <w:autoSpaceDE w:val="0"/>
        <w:autoSpaceDN w:val="0"/>
        <w:adjustRightInd w:val="0"/>
        <w:spacing w:after="0" w:line="240" w:lineRule="auto"/>
        <w:ind w:left="360"/>
        <w:jc w:val="both"/>
        <w:rPr>
          <w:rFonts w:cstheme="minorHAnsi"/>
          <w:kern w:val="0"/>
        </w:rPr>
      </w:pPr>
    </w:p>
    <w:p w14:paraId="1A919823" w14:textId="77777777" w:rsidR="00B84B13" w:rsidRPr="00B84B13" w:rsidRDefault="00B84B13" w:rsidP="009469ED">
      <w:pPr>
        <w:pStyle w:val="Odstavekseznama"/>
        <w:autoSpaceDE w:val="0"/>
        <w:autoSpaceDN w:val="0"/>
        <w:adjustRightInd w:val="0"/>
        <w:spacing w:after="0" w:line="240" w:lineRule="auto"/>
        <w:ind w:left="360"/>
        <w:jc w:val="both"/>
        <w:rPr>
          <w:rFonts w:cstheme="minorHAnsi"/>
          <w:kern w:val="0"/>
        </w:rPr>
      </w:pPr>
      <w:r w:rsidRPr="00B84B13">
        <w:rPr>
          <w:rFonts w:cstheme="minorHAnsi"/>
          <w:kern w:val="0"/>
        </w:rPr>
        <w:t>Podjetja, ki so prejela podporo v obliki nepovratnih sredstev (bolj razvite regije), kjer se ciljna vrednost zmanjša za 106 na novo ciljno vrednost 80.</w:t>
      </w:r>
    </w:p>
    <w:p w14:paraId="5E8634E7" w14:textId="77777777" w:rsidR="00B84B13" w:rsidRPr="00B84B13" w:rsidRDefault="00B84B13" w:rsidP="009469ED">
      <w:pPr>
        <w:pStyle w:val="Odstavekseznama"/>
        <w:autoSpaceDE w:val="0"/>
        <w:autoSpaceDN w:val="0"/>
        <w:adjustRightInd w:val="0"/>
        <w:spacing w:after="0" w:line="240" w:lineRule="auto"/>
        <w:ind w:left="360"/>
        <w:jc w:val="both"/>
        <w:rPr>
          <w:rFonts w:cstheme="minorHAnsi"/>
          <w:kern w:val="0"/>
        </w:rPr>
      </w:pPr>
    </w:p>
    <w:p w14:paraId="5DA878FA" w14:textId="6DBF1075" w:rsidR="00B84B13" w:rsidRPr="00B84B13" w:rsidRDefault="00B84B13" w:rsidP="009469ED">
      <w:pPr>
        <w:pStyle w:val="Odstavekseznama"/>
        <w:autoSpaceDE w:val="0"/>
        <w:autoSpaceDN w:val="0"/>
        <w:adjustRightInd w:val="0"/>
        <w:spacing w:after="0" w:line="240" w:lineRule="auto"/>
        <w:ind w:left="360"/>
        <w:jc w:val="both"/>
        <w:rPr>
          <w:rFonts w:cstheme="minorHAnsi"/>
          <w:kern w:val="0"/>
        </w:rPr>
      </w:pPr>
      <w:r w:rsidRPr="00B84B13">
        <w:rPr>
          <w:rFonts w:cstheme="minorHAnsi"/>
          <w:kern w:val="0"/>
        </w:rPr>
        <w:t xml:space="preserve">Podjetja, ki so prejela podporo v obliki nepovratnih sredstev (manj razvite regije), kjer se ciljna vrednost zmanjša za 165 na novo ciljno vrednost </w:t>
      </w:r>
      <w:r w:rsidR="00E9419B">
        <w:rPr>
          <w:rFonts w:cstheme="minorHAnsi"/>
          <w:kern w:val="0"/>
        </w:rPr>
        <w:t>1</w:t>
      </w:r>
      <w:r w:rsidRPr="00B84B13">
        <w:rPr>
          <w:rFonts w:cstheme="minorHAnsi"/>
          <w:kern w:val="0"/>
        </w:rPr>
        <w:t>32.</w:t>
      </w:r>
    </w:p>
    <w:p w14:paraId="233600B7" w14:textId="77777777" w:rsidR="00B84B13" w:rsidRPr="00B84B13" w:rsidRDefault="00B84B13" w:rsidP="009469ED">
      <w:pPr>
        <w:pStyle w:val="Odstavekseznama"/>
        <w:autoSpaceDE w:val="0"/>
        <w:autoSpaceDN w:val="0"/>
        <w:adjustRightInd w:val="0"/>
        <w:spacing w:after="0" w:line="240" w:lineRule="auto"/>
        <w:ind w:left="360"/>
        <w:jc w:val="both"/>
        <w:rPr>
          <w:rFonts w:cstheme="minorHAnsi"/>
          <w:kern w:val="0"/>
        </w:rPr>
      </w:pPr>
    </w:p>
    <w:p w14:paraId="69C6238D" w14:textId="77777777" w:rsidR="00B84B13" w:rsidRPr="00B84B13" w:rsidRDefault="00B84B13" w:rsidP="009469ED">
      <w:pPr>
        <w:pStyle w:val="Odstavekseznama"/>
        <w:autoSpaceDE w:val="0"/>
        <w:autoSpaceDN w:val="0"/>
        <w:adjustRightInd w:val="0"/>
        <w:spacing w:after="0" w:line="240" w:lineRule="auto"/>
        <w:ind w:left="360"/>
        <w:jc w:val="both"/>
        <w:rPr>
          <w:rFonts w:cstheme="minorHAnsi"/>
          <w:kern w:val="0"/>
        </w:rPr>
      </w:pPr>
      <w:r w:rsidRPr="00B84B13">
        <w:rPr>
          <w:rFonts w:cstheme="minorHAnsi"/>
          <w:kern w:val="0"/>
        </w:rPr>
        <w:t>Podjetja, ki so prejela podporo v obliki finančnih instrumentov (bolj razvite regije), kjer se ciljna vrednost poveča za 40 na novo ciljno vrednost 54.</w:t>
      </w:r>
    </w:p>
    <w:p w14:paraId="714EC577" w14:textId="77777777" w:rsidR="00B84B13" w:rsidRPr="00B84B13" w:rsidRDefault="00B84B13" w:rsidP="009469ED">
      <w:pPr>
        <w:pStyle w:val="Odstavekseznama"/>
        <w:autoSpaceDE w:val="0"/>
        <w:autoSpaceDN w:val="0"/>
        <w:adjustRightInd w:val="0"/>
        <w:spacing w:after="0" w:line="240" w:lineRule="auto"/>
        <w:ind w:left="360"/>
        <w:jc w:val="both"/>
        <w:rPr>
          <w:rFonts w:cstheme="minorHAnsi"/>
          <w:kern w:val="0"/>
        </w:rPr>
      </w:pPr>
    </w:p>
    <w:p w14:paraId="21414D32" w14:textId="0DE70BCE" w:rsidR="00B84B13" w:rsidRDefault="00B84B13" w:rsidP="00B84B13">
      <w:pPr>
        <w:pStyle w:val="Odstavekseznama"/>
        <w:autoSpaceDE w:val="0"/>
        <w:autoSpaceDN w:val="0"/>
        <w:adjustRightInd w:val="0"/>
        <w:spacing w:after="0" w:line="240" w:lineRule="auto"/>
        <w:ind w:left="360"/>
        <w:jc w:val="both"/>
        <w:rPr>
          <w:rFonts w:cstheme="minorHAnsi"/>
          <w:kern w:val="0"/>
        </w:rPr>
      </w:pPr>
      <w:r w:rsidRPr="00B84B13">
        <w:rPr>
          <w:rFonts w:cstheme="minorHAnsi"/>
          <w:kern w:val="0"/>
        </w:rPr>
        <w:t>Podjetja, ki so prejela podporo v obliki finančnih instrumentov (manj razvite regije), kjer se ciljna vrednost poveča za 32 na novo ciljno vrednost 66.</w:t>
      </w:r>
    </w:p>
    <w:p w14:paraId="690F81B2" w14:textId="77777777" w:rsidR="00B84B13" w:rsidRPr="009469ED" w:rsidRDefault="00B84B13" w:rsidP="009469ED">
      <w:pPr>
        <w:pStyle w:val="Odstavekseznama"/>
        <w:autoSpaceDE w:val="0"/>
        <w:autoSpaceDN w:val="0"/>
        <w:adjustRightInd w:val="0"/>
        <w:spacing w:after="0" w:line="240" w:lineRule="auto"/>
        <w:ind w:left="360"/>
        <w:jc w:val="both"/>
        <w:rPr>
          <w:rFonts w:cstheme="minorHAnsi"/>
          <w:kern w:val="0"/>
        </w:rPr>
      </w:pPr>
    </w:p>
    <w:p w14:paraId="613B3A5F" w14:textId="43F4AEAC" w:rsidR="00B84B13" w:rsidRPr="00B84B13" w:rsidRDefault="00B84B13" w:rsidP="009469ED">
      <w:pPr>
        <w:pStyle w:val="Odstavekseznama"/>
        <w:autoSpaceDE w:val="0"/>
        <w:autoSpaceDN w:val="0"/>
        <w:adjustRightInd w:val="0"/>
        <w:spacing w:after="0" w:line="240" w:lineRule="auto"/>
        <w:ind w:left="360"/>
        <w:jc w:val="both"/>
        <w:rPr>
          <w:rFonts w:cstheme="minorHAnsi"/>
          <w:kern w:val="0"/>
        </w:rPr>
      </w:pPr>
      <w:r w:rsidRPr="00B84B13">
        <w:rPr>
          <w:rFonts w:cstheme="minorHAnsi"/>
          <w:kern w:val="0"/>
        </w:rPr>
        <w:t>Mala in srednja podjetja (MSP), ki ustvarjajo inovacije pri proizvodih ali procesih (bolj razvite regije), kjer se ciljna vrednost zmanjša za 8</w:t>
      </w:r>
      <w:r w:rsidR="00446EFA">
        <w:rPr>
          <w:rFonts w:cstheme="minorHAnsi"/>
          <w:kern w:val="0"/>
        </w:rPr>
        <w:t>0</w:t>
      </w:r>
      <w:r w:rsidRPr="00B84B13">
        <w:rPr>
          <w:rFonts w:cstheme="minorHAnsi"/>
          <w:kern w:val="0"/>
        </w:rPr>
        <w:t xml:space="preserve"> na novo ciljno vrednost 59.</w:t>
      </w:r>
    </w:p>
    <w:p w14:paraId="383B4C18" w14:textId="77777777" w:rsidR="00B84B13" w:rsidRPr="00B84B13" w:rsidRDefault="00B84B13" w:rsidP="009469ED">
      <w:pPr>
        <w:pStyle w:val="Odstavekseznama"/>
        <w:autoSpaceDE w:val="0"/>
        <w:autoSpaceDN w:val="0"/>
        <w:adjustRightInd w:val="0"/>
        <w:spacing w:after="0" w:line="240" w:lineRule="auto"/>
        <w:ind w:left="360"/>
        <w:jc w:val="both"/>
        <w:rPr>
          <w:rFonts w:cstheme="minorHAnsi"/>
          <w:kern w:val="0"/>
        </w:rPr>
      </w:pPr>
    </w:p>
    <w:p w14:paraId="55E2F8AD" w14:textId="07B8A5B4" w:rsidR="00B84B13" w:rsidRPr="00B84B13" w:rsidRDefault="00B84B13" w:rsidP="009469ED">
      <w:pPr>
        <w:pStyle w:val="Odstavekseznama"/>
        <w:autoSpaceDE w:val="0"/>
        <w:autoSpaceDN w:val="0"/>
        <w:adjustRightInd w:val="0"/>
        <w:spacing w:after="0" w:line="240" w:lineRule="auto"/>
        <w:ind w:left="360"/>
        <w:jc w:val="both"/>
        <w:rPr>
          <w:rFonts w:cstheme="minorHAnsi"/>
          <w:kern w:val="0"/>
        </w:rPr>
      </w:pPr>
      <w:r w:rsidRPr="00B84B13">
        <w:rPr>
          <w:rFonts w:cstheme="minorHAnsi"/>
          <w:kern w:val="0"/>
        </w:rPr>
        <w:t>Mala in srednja podjetja (MSP), ki ustvarjajo inovacije pri proizvodih ali procesih (manj razvite regije), kjer se ciljna vrednost zmanjša za 123 na novo ciljno vrednost 99.</w:t>
      </w:r>
    </w:p>
    <w:p w14:paraId="463AC614" w14:textId="77777777" w:rsidR="00B84B13" w:rsidRPr="00B84B13" w:rsidRDefault="00B84B13" w:rsidP="009469ED">
      <w:pPr>
        <w:pStyle w:val="Odstavekseznama"/>
        <w:autoSpaceDE w:val="0"/>
        <w:autoSpaceDN w:val="0"/>
        <w:adjustRightInd w:val="0"/>
        <w:spacing w:after="0" w:line="240" w:lineRule="auto"/>
        <w:ind w:left="360"/>
        <w:jc w:val="both"/>
        <w:rPr>
          <w:rFonts w:cstheme="minorHAnsi"/>
          <w:kern w:val="0"/>
        </w:rPr>
      </w:pPr>
    </w:p>
    <w:p w14:paraId="57CDC142" w14:textId="2E33E318" w:rsidR="00B84B13" w:rsidRPr="00B84B13" w:rsidRDefault="00B84B13" w:rsidP="009469ED">
      <w:pPr>
        <w:pStyle w:val="Odstavekseznama"/>
        <w:autoSpaceDE w:val="0"/>
        <w:autoSpaceDN w:val="0"/>
        <w:adjustRightInd w:val="0"/>
        <w:spacing w:after="0" w:line="240" w:lineRule="auto"/>
        <w:ind w:left="360"/>
        <w:jc w:val="both"/>
        <w:rPr>
          <w:rFonts w:cstheme="minorHAnsi"/>
          <w:kern w:val="0"/>
        </w:rPr>
      </w:pPr>
      <w:r w:rsidRPr="00B84B13">
        <w:rPr>
          <w:rFonts w:cstheme="minorHAnsi"/>
          <w:kern w:val="0"/>
          <w:u w:val="single"/>
        </w:rPr>
        <w:t>Obrazložitev</w:t>
      </w:r>
      <w:r w:rsidRPr="00B84B13">
        <w:rPr>
          <w:rFonts w:cstheme="minorHAnsi"/>
          <w:kern w:val="0"/>
        </w:rPr>
        <w:t>: Kazalnika RCO01 in RCO02 se znižata zaradi prenosa sredstev na nov SC RSO1.6 za namene STEP na račun ukrepov »DEMO/PILOTI«, »RRI« in »Raziskovalci v gospodarstvu« na SC RSO 1.1. Kazalnik RCO0</w:t>
      </w:r>
      <w:r w:rsidR="00FA51E7">
        <w:rPr>
          <w:rFonts w:cstheme="minorHAnsi"/>
          <w:kern w:val="0"/>
        </w:rPr>
        <w:t>3</w:t>
      </w:r>
      <w:r w:rsidRPr="00B84B13">
        <w:rPr>
          <w:rFonts w:cstheme="minorHAnsi"/>
          <w:kern w:val="0"/>
        </w:rPr>
        <w:t xml:space="preserve"> se zviša zaradi prenosa</w:t>
      </w:r>
      <w:r w:rsidR="002B3B9B">
        <w:rPr>
          <w:rFonts w:cstheme="minorHAnsi"/>
          <w:kern w:val="0"/>
        </w:rPr>
        <w:t xml:space="preserve"> sredstev na</w:t>
      </w:r>
      <w:r w:rsidRPr="00B84B13">
        <w:rPr>
          <w:rFonts w:cstheme="minorHAnsi"/>
          <w:kern w:val="0"/>
        </w:rPr>
        <w:t xml:space="preserve"> FI</w:t>
      </w:r>
      <w:r w:rsidR="002B3B9B">
        <w:rPr>
          <w:rFonts w:cstheme="minorHAnsi"/>
          <w:kern w:val="0"/>
        </w:rPr>
        <w:t xml:space="preserve"> v okviru povečanih pravic porabe in spremembe programa</w:t>
      </w:r>
      <w:r w:rsidRPr="00B84B13">
        <w:rPr>
          <w:rFonts w:cstheme="minorHAnsi"/>
          <w:kern w:val="0"/>
        </w:rPr>
        <w:t>.</w:t>
      </w:r>
    </w:p>
    <w:p w14:paraId="0B7BF292" w14:textId="77777777" w:rsidR="00B84B13" w:rsidRPr="00B84B13" w:rsidRDefault="00B84B13" w:rsidP="009469ED">
      <w:pPr>
        <w:pStyle w:val="Odstavekseznama"/>
        <w:autoSpaceDE w:val="0"/>
        <w:autoSpaceDN w:val="0"/>
        <w:adjustRightInd w:val="0"/>
        <w:spacing w:after="0" w:line="240" w:lineRule="auto"/>
        <w:ind w:left="360"/>
        <w:jc w:val="both"/>
        <w:rPr>
          <w:rFonts w:cstheme="minorHAnsi"/>
          <w:kern w:val="0"/>
        </w:rPr>
      </w:pPr>
    </w:p>
    <w:bookmarkEnd w:id="65"/>
    <w:p w14:paraId="7CEB8577" w14:textId="77777777" w:rsidR="00D14686" w:rsidRDefault="00D14686" w:rsidP="00A71602">
      <w:pPr>
        <w:autoSpaceDE w:val="0"/>
        <w:autoSpaceDN w:val="0"/>
        <w:adjustRightInd w:val="0"/>
        <w:spacing w:after="0" w:line="240" w:lineRule="auto"/>
        <w:contextualSpacing/>
        <w:jc w:val="both"/>
        <w:rPr>
          <w:rFonts w:cstheme="minorHAnsi"/>
          <w:kern w:val="0"/>
        </w:rPr>
      </w:pPr>
    </w:p>
    <w:p w14:paraId="199CFC92" w14:textId="77777777" w:rsidR="00A71602" w:rsidRPr="000B3E1A" w:rsidRDefault="00A71602" w:rsidP="000B3E1A">
      <w:pPr>
        <w:autoSpaceDE w:val="0"/>
        <w:autoSpaceDN w:val="0"/>
        <w:adjustRightInd w:val="0"/>
        <w:spacing w:after="0" w:line="240" w:lineRule="auto"/>
        <w:contextualSpacing/>
        <w:jc w:val="both"/>
        <w:rPr>
          <w:rFonts w:cstheme="minorHAnsi"/>
          <w:kern w:val="0"/>
        </w:rPr>
      </w:pPr>
    </w:p>
    <w:p w14:paraId="5EC21F38" w14:textId="77777777" w:rsidR="00EA520A" w:rsidRPr="00C13D02" w:rsidRDefault="00EA520A" w:rsidP="00EA520A">
      <w:pPr>
        <w:numPr>
          <w:ilvl w:val="0"/>
          <w:numId w:val="11"/>
        </w:numPr>
        <w:autoSpaceDE w:val="0"/>
        <w:autoSpaceDN w:val="0"/>
        <w:adjustRightInd w:val="0"/>
        <w:spacing w:after="0" w:line="240" w:lineRule="auto"/>
        <w:contextualSpacing/>
        <w:jc w:val="both"/>
        <w:rPr>
          <w:rFonts w:cstheme="minorHAnsi"/>
          <w:kern w:val="0"/>
        </w:rPr>
      </w:pPr>
      <w:r w:rsidRPr="00C13D02">
        <w:rPr>
          <w:rFonts w:cstheme="minorHAnsi"/>
          <w:b/>
          <w:bCs/>
          <w:kern w:val="0"/>
          <w:u w:val="single"/>
        </w:rPr>
        <w:lastRenderedPageBreak/>
        <w:t>Sprememba kazalnika učinka RCO06</w:t>
      </w:r>
      <w:r w:rsidRPr="00C13D02">
        <w:rPr>
          <w:rFonts w:cstheme="minorHAnsi"/>
          <w:kern w:val="0"/>
        </w:rPr>
        <w:t xml:space="preserve">: Raziskovalci, ki delujejo v raziskovalnih ustanovah, ki so prejela podporo, kjer se ciljna vrednost </w:t>
      </w:r>
      <w:r>
        <w:rPr>
          <w:rFonts w:cstheme="minorHAnsi"/>
          <w:kern w:val="0"/>
        </w:rPr>
        <w:t>za manj razvite regije poveča za 7 na novo ciljno vrednost 176. Na bolj razvitih regijah se vrednost zmanjša za 24 na novo ciljno vrednost 94.</w:t>
      </w:r>
    </w:p>
    <w:p w14:paraId="2B09F079" w14:textId="77777777" w:rsidR="008F3668" w:rsidRPr="00C13D02" w:rsidRDefault="008F3668" w:rsidP="008F3668">
      <w:pPr>
        <w:autoSpaceDE w:val="0"/>
        <w:autoSpaceDN w:val="0"/>
        <w:adjustRightInd w:val="0"/>
        <w:spacing w:after="0" w:line="240" w:lineRule="auto"/>
        <w:jc w:val="both"/>
        <w:rPr>
          <w:rFonts w:cstheme="minorHAnsi"/>
          <w:kern w:val="0"/>
        </w:rPr>
      </w:pPr>
    </w:p>
    <w:p w14:paraId="375B1492" w14:textId="5C24D1AE" w:rsidR="008F3668" w:rsidRPr="00C13D02" w:rsidRDefault="008F3668" w:rsidP="008F3668">
      <w:pPr>
        <w:autoSpaceDE w:val="0"/>
        <w:autoSpaceDN w:val="0"/>
        <w:adjustRightInd w:val="0"/>
        <w:spacing w:after="0" w:line="240" w:lineRule="auto"/>
        <w:jc w:val="both"/>
        <w:rPr>
          <w:rFonts w:cstheme="minorHAnsi"/>
          <w:kern w:val="0"/>
        </w:rPr>
      </w:pPr>
      <w:r w:rsidRPr="00C13D02">
        <w:rPr>
          <w:rFonts w:cstheme="minorHAnsi"/>
          <w:kern w:val="0"/>
          <w:u w:val="single"/>
        </w:rPr>
        <w:t>Obrazložitev</w:t>
      </w:r>
      <w:r w:rsidRPr="00C13D02">
        <w:rPr>
          <w:rFonts w:cstheme="minorHAnsi"/>
          <w:kern w:val="0"/>
        </w:rPr>
        <w:t xml:space="preserve">: V ciljno vrednost kazalnika RCO06 je bil vključen projekt </w:t>
      </w:r>
      <w:proofErr w:type="spellStart"/>
      <w:r w:rsidRPr="00C13D02">
        <w:rPr>
          <w:rFonts w:cstheme="minorHAnsi"/>
          <w:kern w:val="0"/>
        </w:rPr>
        <w:t>Teaming</w:t>
      </w:r>
      <w:proofErr w:type="spellEnd"/>
      <w:r w:rsidRPr="00C13D02">
        <w:rPr>
          <w:rFonts w:cstheme="minorHAnsi"/>
          <w:kern w:val="0"/>
        </w:rPr>
        <w:t xml:space="preserve"> z višino 31 FTE, kar pa ni pravilno, saj bi v tem primeru prišlo do dvojnega štetja rezultatov v EKP 2021–2027 in v Programu Obzorje Evropa. Gre za komplementaren projekt, kjer se raziskovalci financirajo v okviru Obzorja Evropa, v okviru EKP pa se v enaki višini financira raziskovalna infrastruktura.</w:t>
      </w:r>
      <w:r w:rsidR="00BF60B1" w:rsidRPr="00BF60B1">
        <w:t xml:space="preserve"> </w:t>
      </w:r>
      <w:r w:rsidR="00BF60B1" w:rsidRPr="00BF60B1">
        <w:rPr>
          <w:rFonts w:cstheme="minorHAnsi"/>
          <w:kern w:val="0"/>
        </w:rPr>
        <w:t>Hkrati pa se kazalnik poviša za 7 FTE na 11 FTE na KRVS in za 7 FTE na 11 FTE na KRZS (skupaj 22 FTE) zaradi povečanja financiranja projektov ESFRI. Skupna sprememba (nižanje) kazalnika je torej za 17 FTE</w:t>
      </w:r>
      <w:r w:rsidR="00BF60B1">
        <w:rPr>
          <w:rFonts w:cstheme="minorHAnsi"/>
          <w:kern w:val="0"/>
        </w:rPr>
        <w:t>.</w:t>
      </w:r>
    </w:p>
    <w:p w14:paraId="3C30EADF" w14:textId="77777777" w:rsidR="008F3668" w:rsidRPr="00C13D02" w:rsidRDefault="008F3668" w:rsidP="008F3668">
      <w:pPr>
        <w:autoSpaceDE w:val="0"/>
        <w:autoSpaceDN w:val="0"/>
        <w:adjustRightInd w:val="0"/>
        <w:spacing w:after="0" w:line="240" w:lineRule="auto"/>
        <w:jc w:val="both"/>
        <w:rPr>
          <w:rFonts w:cstheme="minorHAnsi"/>
          <w:kern w:val="0"/>
        </w:rPr>
      </w:pPr>
    </w:p>
    <w:p w14:paraId="3BAF51F1" w14:textId="2EFB3433" w:rsidR="008F3668" w:rsidRPr="00C13D02" w:rsidRDefault="008F3668" w:rsidP="00E46C20">
      <w:pPr>
        <w:numPr>
          <w:ilvl w:val="0"/>
          <w:numId w:val="11"/>
        </w:numPr>
        <w:autoSpaceDE w:val="0"/>
        <w:autoSpaceDN w:val="0"/>
        <w:adjustRightInd w:val="0"/>
        <w:spacing w:after="0" w:line="240" w:lineRule="auto"/>
        <w:contextualSpacing/>
        <w:jc w:val="both"/>
        <w:rPr>
          <w:rFonts w:cstheme="minorHAnsi"/>
          <w:kern w:val="0"/>
        </w:rPr>
      </w:pPr>
      <w:r w:rsidRPr="00C13D02">
        <w:rPr>
          <w:rFonts w:cstheme="minorHAnsi"/>
          <w:b/>
          <w:bCs/>
          <w:kern w:val="0"/>
          <w:u w:val="single"/>
        </w:rPr>
        <w:t>Sprememba vrednosti kazalnikov RCO07 in RCO10</w:t>
      </w:r>
      <w:r w:rsidRPr="00C13D02">
        <w:rPr>
          <w:rFonts w:cstheme="minorHAnsi"/>
          <w:b/>
          <w:bCs/>
          <w:kern w:val="0"/>
        </w:rPr>
        <w:t xml:space="preserve">: </w:t>
      </w:r>
      <w:r w:rsidRPr="00C13D02">
        <w:rPr>
          <w:rFonts w:cstheme="minorHAnsi"/>
          <w:kern w:val="0"/>
        </w:rPr>
        <w:t>ob mejniku na vrednost 0.</w:t>
      </w:r>
    </w:p>
    <w:p w14:paraId="4FE757BA" w14:textId="77777777" w:rsidR="008F3668" w:rsidRPr="00C13D02" w:rsidRDefault="008F3668" w:rsidP="008F3668">
      <w:pPr>
        <w:autoSpaceDE w:val="0"/>
        <w:autoSpaceDN w:val="0"/>
        <w:adjustRightInd w:val="0"/>
        <w:spacing w:after="0" w:line="240" w:lineRule="auto"/>
        <w:jc w:val="both"/>
        <w:rPr>
          <w:rFonts w:cstheme="minorHAnsi"/>
          <w:kern w:val="0"/>
        </w:rPr>
      </w:pPr>
    </w:p>
    <w:p w14:paraId="791D57DA" w14:textId="77777777" w:rsidR="008F3668" w:rsidRDefault="008F3668" w:rsidP="008F3668">
      <w:pPr>
        <w:autoSpaceDE w:val="0"/>
        <w:autoSpaceDN w:val="0"/>
        <w:adjustRightInd w:val="0"/>
        <w:spacing w:after="0" w:line="240" w:lineRule="auto"/>
        <w:jc w:val="both"/>
        <w:rPr>
          <w:rFonts w:cstheme="minorHAnsi"/>
          <w:kern w:val="0"/>
        </w:rPr>
      </w:pPr>
      <w:r w:rsidRPr="00C13D02">
        <w:rPr>
          <w:rFonts w:cstheme="minorHAnsi"/>
          <w:kern w:val="0"/>
          <w:u w:val="single"/>
        </w:rPr>
        <w:t>Obrazložitev</w:t>
      </w:r>
      <w:r w:rsidRPr="00C13D02">
        <w:rPr>
          <w:rFonts w:cstheme="minorHAnsi"/>
          <w:kern w:val="0"/>
        </w:rPr>
        <w:t>: Zaradi reforme v okviru NOO in s tem pomembno reformo Agencije za raziskovalno in inovacijsko dejavnost Republike Slovenija (v nadaljevanju ARIS) s katero ARIS prvič prevzema vlogo izvajalskega telesa izvajanja evropske kohezijske politike, se je začetek izvajanje ukrepov, ki se prenašajo na ARIS zamaknil in posledično vrednost kazalnika učinka ob mejniku ni dosežena. Ciljna vrednost v letu 2029 se ne spreminja.</w:t>
      </w:r>
    </w:p>
    <w:p w14:paraId="753D15E2" w14:textId="77777777" w:rsidR="00E377DA" w:rsidRDefault="00E377DA" w:rsidP="008F3668">
      <w:pPr>
        <w:autoSpaceDE w:val="0"/>
        <w:autoSpaceDN w:val="0"/>
        <w:adjustRightInd w:val="0"/>
        <w:spacing w:after="0" w:line="240" w:lineRule="auto"/>
        <w:jc w:val="both"/>
        <w:rPr>
          <w:rFonts w:cstheme="minorHAnsi"/>
          <w:kern w:val="0"/>
        </w:rPr>
      </w:pPr>
    </w:p>
    <w:p w14:paraId="677DDB81" w14:textId="1A701587" w:rsidR="00537D22" w:rsidRDefault="00537D22" w:rsidP="00E46C20">
      <w:pPr>
        <w:numPr>
          <w:ilvl w:val="0"/>
          <w:numId w:val="11"/>
        </w:numPr>
        <w:autoSpaceDE w:val="0"/>
        <w:autoSpaceDN w:val="0"/>
        <w:adjustRightInd w:val="0"/>
        <w:spacing w:after="0" w:line="240" w:lineRule="auto"/>
        <w:contextualSpacing/>
        <w:jc w:val="both"/>
        <w:rPr>
          <w:rFonts w:cstheme="minorHAnsi"/>
          <w:kern w:val="0"/>
        </w:rPr>
      </w:pPr>
      <w:r w:rsidRPr="000B3E1A">
        <w:rPr>
          <w:rFonts w:cstheme="minorHAnsi"/>
          <w:b/>
          <w:bCs/>
          <w:kern w:val="0"/>
          <w:u w:val="single"/>
        </w:rPr>
        <w:t>Sprememba kazalnik</w:t>
      </w:r>
      <w:r w:rsidR="00C91E6C">
        <w:rPr>
          <w:rFonts w:cstheme="minorHAnsi"/>
          <w:b/>
          <w:bCs/>
          <w:kern w:val="0"/>
          <w:u w:val="single"/>
        </w:rPr>
        <w:t>a</w:t>
      </w:r>
      <w:r w:rsidRPr="000B3E1A">
        <w:rPr>
          <w:rFonts w:cstheme="minorHAnsi"/>
          <w:b/>
          <w:bCs/>
          <w:kern w:val="0"/>
          <w:u w:val="single"/>
        </w:rPr>
        <w:t xml:space="preserve"> rezultat</w:t>
      </w:r>
      <w:r w:rsidR="00C91E6C">
        <w:rPr>
          <w:rFonts w:cstheme="minorHAnsi"/>
          <w:b/>
          <w:bCs/>
          <w:kern w:val="0"/>
          <w:u w:val="single"/>
        </w:rPr>
        <w:t>a</w:t>
      </w:r>
      <w:r>
        <w:rPr>
          <w:rFonts w:cstheme="minorHAnsi"/>
          <w:b/>
          <w:bCs/>
          <w:kern w:val="0"/>
          <w:u w:val="single"/>
        </w:rPr>
        <w:t xml:space="preserve"> RC</w:t>
      </w:r>
      <w:r w:rsidR="00890F46">
        <w:rPr>
          <w:rFonts w:cstheme="minorHAnsi"/>
          <w:b/>
          <w:bCs/>
          <w:kern w:val="0"/>
          <w:u w:val="single"/>
        </w:rPr>
        <w:t>R</w:t>
      </w:r>
      <w:r>
        <w:rPr>
          <w:rFonts w:cstheme="minorHAnsi"/>
          <w:b/>
          <w:bCs/>
          <w:kern w:val="0"/>
          <w:u w:val="single"/>
        </w:rPr>
        <w:t>03</w:t>
      </w:r>
      <w:r>
        <w:rPr>
          <w:rFonts w:cstheme="minorHAnsi"/>
          <w:kern w:val="0"/>
        </w:rPr>
        <w:t xml:space="preserve">: </w:t>
      </w:r>
    </w:p>
    <w:p w14:paraId="7582DE79" w14:textId="77777777" w:rsidR="00E46C20" w:rsidRDefault="00E46C20" w:rsidP="00E46C20">
      <w:pPr>
        <w:autoSpaceDE w:val="0"/>
        <w:autoSpaceDN w:val="0"/>
        <w:adjustRightInd w:val="0"/>
        <w:spacing w:after="0" w:line="240" w:lineRule="auto"/>
        <w:jc w:val="both"/>
        <w:rPr>
          <w:rFonts w:cstheme="minorHAnsi"/>
          <w:kern w:val="0"/>
        </w:rPr>
      </w:pPr>
    </w:p>
    <w:p w14:paraId="371DF5FE" w14:textId="1AF9A02F" w:rsidR="00537D22" w:rsidRDefault="00537D22" w:rsidP="00E46C20">
      <w:pPr>
        <w:autoSpaceDE w:val="0"/>
        <w:autoSpaceDN w:val="0"/>
        <w:adjustRightInd w:val="0"/>
        <w:spacing w:after="0" w:line="240" w:lineRule="auto"/>
        <w:jc w:val="both"/>
        <w:rPr>
          <w:rFonts w:cstheme="minorHAnsi"/>
          <w:kern w:val="0"/>
        </w:rPr>
      </w:pPr>
      <w:r w:rsidRPr="00537D22">
        <w:rPr>
          <w:rFonts w:cstheme="minorHAnsi"/>
          <w:kern w:val="0"/>
        </w:rPr>
        <w:t>Mala in srednja podjetja (MSP), ki uvajajo inovacije pri proizvodih ali procesih</w:t>
      </w:r>
      <w:r>
        <w:rPr>
          <w:rFonts w:cstheme="minorHAnsi"/>
          <w:kern w:val="0"/>
        </w:rPr>
        <w:t xml:space="preserve"> (bolj razvite regije), </w:t>
      </w:r>
      <w:r w:rsidRPr="00537D22">
        <w:rPr>
          <w:rFonts w:cstheme="minorHAnsi"/>
          <w:kern w:val="0"/>
        </w:rPr>
        <w:t xml:space="preserve">kjer se ciljna vrednost </w:t>
      </w:r>
      <w:r>
        <w:rPr>
          <w:rFonts w:cstheme="minorHAnsi"/>
          <w:kern w:val="0"/>
        </w:rPr>
        <w:t>zmanjša</w:t>
      </w:r>
      <w:r w:rsidRPr="00537D22">
        <w:rPr>
          <w:rFonts w:cstheme="minorHAnsi"/>
          <w:kern w:val="0"/>
        </w:rPr>
        <w:t xml:space="preserve"> za </w:t>
      </w:r>
      <w:r>
        <w:rPr>
          <w:rFonts w:cstheme="minorHAnsi"/>
          <w:kern w:val="0"/>
        </w:rPr>
        <w:t>72</w:t>
      </w:r>
      <w:r w:rsidRPr="00537D22">
        <w:rPr>
          <w:rFonts w:cstheme="minorHAnsi"/>
          <w:kern w:val="0"/>
        </w:rPr>
        <w:t xml:space="preserve"> na novo ciljno vrednost </w:t>
      </w:r>
      <w:r>
        <w:rPr>
          <w:rFonts w:cstheme="minorHAnsi"/>
          <w:kern w:val="0"/>
        </w:rPr>
        <w:t>67</w:t>
      </w:r>
      <w:r w:rsidRPr="00537D22">
        <w:rPr>
          <w:rFonts w:cstheme="minorHAnsi"/>
          <w:kern w:val="0"/>
        </w:rPr>
        <w:t>.</w:t>
      </w:r>
    </w:p>
    <w:p w14:paraId="15CFF8C5" w14:textId="77777777" w:rsidR="00E46C20" w:rsidRDefault="00E46C20" w:rsidP="00E46C20">
      <w:pPr>
        <w:autoSpaceDE w:val="0"/>
        <w:autoSpaceDN w:val="0"/>
        <w:adjustRightInd w:val="0"/>
        <w:spacing w:after="0" w:line="240" w:lineRule="auto"/>
        <w:jc w:val="both"/>
        <w:rPr>
          <w:rFonts w:cstheme="minorHAnsi"/>
          <w:kern w:val="0"/>
        </w:rPr>
      </w:pPr>
    </w:p>
    <w:p w14:paraId="7CCDAA48" w14:textId="389DB906" w:rsidR="00537D22" w:rsidRDefault="00537D22" w:rsidP="00E46C20">
      <w:pPr>
        <w:autoSpaceDE w:val="0"/>
        <w:autoSpaceDN w:val="0"/>
        <w:adjustRightInd w:val="0"/>
        <w:spacing w:after="0" w:line="240" w:lineRule="auto"/>
        <w:jc w:val="both"/>
        <w:rPr>
          <w:rFonts w:cstheme="minorHAnsi"/>
          <w:kern w:val="0"/>
        </w:rPr>
      </w:pPr>
      <w:r w:rsidRPr="00537D22">
        <w:rPr>
          <w:rFonts w:cstheme="minorHAnsi"/>
          <w:kern w:val="0"/>
        </w:rPr>
        <w:t>Mala in srednja podjetja (MSP), ki uvajajo inovacije pri proizvodih ali procesih (</w:t>
      </w:r>
      <w:r>
        <w:rPr>
          <w:rFonts w:cstheme="minorHAnsi"/>
          <w:kern w:val="0"/>
        </w:rPr>
        <w:t>manj</w:t>
      </w:r>
      <w:r w:rsidRPr="00537D22">
        <w:rPr>
          <w:rFonts w:cstheme="minorHAnsi"/>
          <w:kern w:val="0"/>
        </w:rPr>
        <w:t xml:space="preserve"> razvite regije), kjer se ciljna vrednost zmanjša za </w:t>
      </w:r>
      <w:r>
        <w:rPr>
          <w:rFonts w:cstheme="minorHAnsi"/>
          <w:kern w:val="0"/>
        </w:rPr>
        <w:t>113</w:t>
      </w:r>
      <w:r w:rsidRPr="00537D22">
        <w:rPr>
          <w:rFonts w:cstheme="minorHAnsi"/>
          <w:kern w:val="0"/>
        </w:rPr>
        <w:t xml:space="preserve"> na novo ciljno vrednost </w:t>
      </w:r>
      <w:r>
        <w:rPr>
          <w:rFonts w:cstheme="minorHAnsi"/>
          <w:kern w:val="0"/>
        </w:rPr>
        <w:t>109</w:t>
      </w:r>
      <w:r w:rsidRPr="00537D22">
        <w:rPr>
          <w:rFonts w:cstheme="minorHAnsi"/>
          <w:kern w:val="0"/>
        </w:rPr>
        <w:t>.</w:t>
      </w:r>
    </w:p>
    <w:p w14:paraId="6F7C4D55" w14:textId="77777777" w:rsidR="00E46C20" w:rsidRDefault="00E46C20" w:rsidP="00E46C20">
      <w:pPr>
        <w:autoSpaceDE w:val="0"/>
        <w:autoSpaceDN w:val="0"/>
        <w:adjustRightInd w:val="0"/>
        <w:spacing w:after="0" w:line="240" w:lineRule="auto"/>
        <w:jc w:val="both"/>
        <w:rPr>
          <w:rFonts w:cstheme="minorHAnsi"/>
          <w:kern w:val="0"/>
        </w:rPr>
      </w:pPr>
    </w:p>
    <w:p w14:paraId="24623C77" w14:textId="66874C05" w:rsidR="00537D22" w:rsidRPr="000B3E1A" w:rsidRDefault="00D75B6C" w:rsidP="00E46C20">
      <w:pPr>
        <w:autoSpaceDE w:val="0"/>
        <w:autoSpaceDN w:val="0"/>
        <w:adjustRightInd w:val="0"/>
        <w:spacing w:after="0" w:line="240" w:lineRule="auto"/>
        <w:jc w:val="both"/>
        <w:rPr>
          <w:rFonts w:cstheme="minorHAnsi"/>
          <w:kern w:val="0"/>
        </w:rPr>
      </w:pPr>
      <w:r w:rsidRPr="00076FA4">
        <w:rPr>
          <w:rFonts w:cstheme="minorHAnsi"/>
          <w:kern w:val="0"/>
          <w:u w:val="single"/>
        </w:rPr>
        <w:t>Obrazložitev</w:t>
      </w:r>
      <w:r>
        <w:rPr>
          <w:rFonts w:cstheme="minorHAnsi"/>
          <w:kern w:val="0"/>
        </w:rPr>
        <w:t>: Kazalnik RC</w:t>
      </w:r>
      <w:r w:rsidR="00890F46">
        <w:rPr>
          <w:rFonts w:cstheme="minorHAnsi"/>
          <w:kern w:val="0"/>
        </w:rPr>
        <w:t>R</w:t>
      </w:r>
      <w:r>
        <w:rPr>
          <w:rFonts w:cstheme="minorHAnsi"/>
          <w:kern w:val="0"/>
        </w:rPr>
        <w:t xml:space="preserve">03 </w:t>
      </w:r>
      <w:r w:rsidRPr="00D75B6C">
        <w:rPr>
          <w:rFonts w:cstheme="minorHAnsi"/>
          <w:kern w:val="0"/>
        </w:rPr>
        <w:t>se zniža zaradi prenosa sredstev na nov SC RSO1.6 za namene STEP na račun ukrepov »DEMO/PILOTI« in »RRI« na SC RSO 1.1.</w:t>
      </w:r>
    </w:p>
    <w:p w14:paraId="486EF6DE" w14:textId="77777777" w:rsidR="00A47A8B" w:rsidRDefault="00A47A8B" w:rsidP="008F3668">
      <w:pPr>
        <w:autoSpaceDE w:val="0"/>
        <w:autoSpaceDN w:val="0"/>
        <w:adjustRightInd w:val="0"/>
        <w:spacing w:after="0" w:line="240" w:lineRule="auto"/>
        <w:jc w:val="both"/>
        <w:rPr>
          <w:rFonts w:cstheme="minorHAnsi"/>
          <w:kern w:val="0"/>
        </w:rPr>
      </w:pPr>
    </w:p>
    <w:p w14:paraId="3D8C338D" w14:textId="06CEA021" w:rsidR="008F3668" w:rsidRDefault="00A47A8B" w:rsidP="00E46C20">
      <w:pPr>
        <w:pStyle w:val="Odstavekseznama"/>
        <w:numPr>
          <w:ilvl w:val="0"/>
          <w:numId w:val="11"/>
        </w:numPr>
        <w:spacing w:after="0"/>
        <w:jc w:val="both"/>
      </w:pPr>
      <w:r w:rsidRPr="00E46C20">
        <w:rPr>
          <w:b/>
          <w:bCs/>
          <w:u w:val="single"/>
        </w:rPr>
        <w:t xml:space="preserve">Sprememba opisa v okviru </w:t>
      </w:r>
      <w:proofErr w:type="spellStart"/>
      <w:r w:rsidRPr="00E46C20">
        <w:rPr>
          <w:b/>
          <w:bCs/>
          <w:u w:val="single"/>
        </w:rPr>
        <w:t>medregionalnih</w:t>
      </w:r>
      <w:proofErr w:type="spellEnd"/>
      <w:r w:rsidRPr="00E46C20">
        <w:rPr>
          <w:b/>
          <w:bCs/>
          <w:u w:val="single"/>
        </w:rPr>
        <w:t>, čezmejnih in transnacionalnih ukrepov</w:t>
      </w:r>
      <w:r>
        <w:t>: pri ukrepu IPCEI se v drugem odstavku doda stavek »</w:t>
      </w:r>
      <w:r w:rsidRPr="00A47A8B">
        <w:t>Podpora projektom direkt</w:t>
      </w:r>
      <w:r>
        <w:t>n</w:t>
      </w:r>
      <w:r w:rsidRPr="00A47A8B">
        <w:t>ih partnerjev v IPCEI se bo lahko zagotovila preko neposrednih potrditev operacij</w:t>
      </w:r>
      <w:r>
        <w:t>«.</w:t>
      </w:r>
    </w:p>
    <w:p w14:paraId="013A6B62" w14:textId="77777777" w:rsidR="00E46C20" w:rsidRDefault="00E46C20" w:rsidP="00E46C20">
      <w:pPr>
        <w:spacing w:after="0"/>
        <w:jc w:val="both"/>
      </w:pPr>
    </w:p>
    <w:p w14:paraId="3F8439CD" w14:textId="03439556" w:rsidR="00A47A8B" w:rsidRDefault="00A47A8B" w:rsidP="00E46C20">
      <w:pPr>
        <w:spacing w:after="0"/>
        <w:jc w:val="both"/>
      </w:pPr>
      <w:r w:rsidRPr="000B3E1A">
        <w:rPr>
          <w:u w:val="single"/>
        </w:rPr>
        <w:t>Obrazložitev</w:t>
      </w:r>
      <w:r>
        <w:t>:</w:t>
      </w:r>
      <w:r w:rsidR="00453AF4">
        <w:t xml:space="preserve"> V vseh IPCEI, v katerih je MGTŠ bil vključen do sedaj, so slovenska podjetja sodelovala kot indirektni ali pridruženi partnerji, ki jim je pomoč bila dodeljena po 25. členu GBER – RRI shemi. V primeru TECH4CURE (IPCEI na področju zdravstva), pa je Evropska komisija predlagala, naj se Slovenija vključi z direktnim partnerjem/direktnimi partnerji, pri čemer je fleksibilna glede na višine vrednosti projekta. V tam primeru bo šlo za postopek vključitve slovenskih podjetij v IPCEI kot direktnih partnerjev in priglasitve državne pomoči Evropski komisiji v skladu s Sporočilom komisije – Merila za analizo z združljivosti pomoči z notranjim trgom, da se spodbudi izvajanje pomembnih projektov skupnega evropskega interesa (UL C št. 528 z dne 30. 12. 2021, str. 10</w:t>
      </w:r>
      <w:r w:rsidR="00363A1D">
        <w:t>; v nadaljevanju: Sporočilo IPCEI)</w:t>
      </w:r>
      <w:r w:rsidR="00453AF4">
        <w:t>. Slovenski direktni partnerji bodo v primeru uspešnih postopkov kot taki vključeni v »</w:t>
      </w:r>
      <w:proofErr w:type="spellStart"/>
      <w:r w:rsidR="00453AF4">
        <w:t>chapeau</w:t>
      </w:r>
      <w:proofErr w:type="spellEnd"/>
      <w:r w:rsidR="00453AF4">
        <w:t xml:space="preserve"> </w:t>
      </w:r>
      <w:proofErr w:type="spellStart"/>
      <w:r w:rsidR="00453AF4">
        <w:t>text</w:t>
      </w:r>
      <w:proofErr w:type="spellEnd"/>
      <w:r w:rsidR="00453AF4">
        <w:t>« za IPCEI TECH4CURE in bodo imeli uspešno priglašeno</w:t>
      </w:r>
      <w:r w:rsidR="00EA49FE">
        <w:t xml:space="preserve"> državno pomoč</w:t>
      </w:r>
      <w:r w:rsidR="00453AF4">
        <w:t xml:space="preserve"> v skladu s Sporočilom IPCEI.</w:t>
      </w:r>
      <w:r w:rsidR="00363A1D">
        <w:t xml:space="preserve"> Navedeno omogoča, da se tovrstni projekt na nacionalni ravni potrdi z instrumentom »neposredna potrditev operacije«.</w:t>
      </w:r>
      <w:r w:rsidR="00EA49FE">
        <w:t xml:space="preserve"> Po enakem postopku bo možno tudi vključevanje slovenskih podjetij kot direktnih partnerjev v druge IPCEI, ki so trenutno in bodo v prihodnje v procesu vzpostavljanja.</w:t>
      </w:r>
      <w:r w:rsidR="00363A1D">
        <w:t xml:space="preserve"> S predlagano spremembo bo omogočeno učinkovito sodelovanje</w:t>
      </w:r>
      <w:r w:rsidR="005D55DF">
        <w:t xml:space="preserve"> </w:t>
      </w:r>
      <w:r w:rsidR="00EA49FE">
        <w:t>slovenskih podjetij kot direktnih partnerjev</w:t>
      </w:r>
      <w:r w:rsidR="00363A1D">
        <w:t xml:space="preserve"> v IPCEI projektih, kar bo prispevalo k tehnološke</w:t>
      </w:r>
      <w:r w:rsidR="00EA49FE">
        <w:t>mu</w:t>
      </w:r>
      <w:r w:rsidR="00363A1D">
        <w:t xml:space="preserve"> napredku in mednarodnemu povezovanju slovenskih podjetij ter krepitvi konkurenčnosti države na evropski ravni.</w:t>
      </w:r>
    </w:p>
    <w:p w14:paraId="0670FD83" w14:textId="77777777" w:rsidR="00363A1D" w:rsidRDefault="00363A1D" w:rsidP="00453AF4">
      <w:pPr>
        <w:spacing w:after="0"/>
        <w:ind w:left="142"/>
        <w:jc w:val="both"/>
      </w:pPr>
    </w:p>
    <w:p w14:paraId="7FAA32E0" w14:textId="1B737112" w:rsidR="00363A1D" w:rsidRDefault="00363A1D" w:rsidP="00E46C20">
      <w:pPr>
        <w:pStyle w:val="Odstavekseznama"/>
        <w:numPr>
          <w:ilvl w:val="0"/>
          <w:numId w:val="11"/>
        </w:numPr>
        <w:spacing w:after="0"/>
        <w:jc w:val="both"/>
      </w:pPr>
      <w:r w:rsidRPr="00E46C20">
        <w:rPr>
          <w:b/>
          <w:bCs/>
          <w:u w:val="single"/>
        </w:rPr>
        <w:t>Sprememba opisa v okviru načrtovane uporabe finančnih instrumentov</w:t>
      </w:r>
      <w:r>
        <w:t>: prvi stavek prvega odstavka se v oklepaju dopolni z: »</w:t>
      </w:r>
      <w:r w:rsidRPr="00363A1D">
        <w:t>posodobljeno z market testi v juliju, avgustu in oktobru 2024</w:t>
      </w:r>
      <w:r>
        <w:t>«.</w:t>
      </w:r>
    </w:p>
    <w:p w14:paraId="7269613D" w14:textId="77777777" w:rsidR="00E46C20" w:rsidRDefault="00E46C20" w:rsidP="00E46C20">
      <w:pPr>
        <w:spacing w:after="0"/>
        <w:jc w:val="both"/>
      </w:pPr>
    </w:p>
    <w:p w14:paraId="31CCEBD8" w14:textId="32D95EFC" w:rsidR="00363A1D" w:rsidRDefault="00363A1D" w:rsidP="00E46C20">
      <w:pPr>
        <w:spacing w:after="0"/>
        <w:jc w:val="both"/>
      </w:pPr>
      <w:r w:rsidRPr="000B3E1A">
        <w:rPr>
          <w:u w:val="single"/>
        </w:rPr>
        <w:t>Obrazložitev</w:t>
      </w:r>
      <w:r>
        <w:t xml:space="preserve">: </w:t>
      </w:r>
      <w:r w:rsidR="0039419C">
        <w:t xml:space="preserve">Gre za posodobitev verzije </w:t>
      </w:r>
      <w:r w:rsidR="0039419C" w:rsidRPr="0039419C">
        <w:t>Predhodn</w:t>
      </w:r>
      <w:r w:rsidR="0039419C">
        <w:t>e</w:t>
      </w:r>
      <w:r w:rsidR="0039419C" w:rsidRPr="0039419C">
        <w:t xml:space="preserve"> ocen</w:t>
      </w:r>
      <w:r w:rsidR="0039419C">
        <w:t>e</w:t>
      </w:r>
      <w:r w:rsidR="0039419C" w:rsidRPr="0039419C">
        <w:t xml:space="preserve"> potreb trga in vrzeli financiranja na trgu za izvajanje finančnih instrumentov v programskem obdobju 2021</w:t>
      </w:r>
      <w:r w:rsidR="00811995" w:rsidRPr="00C13D02">
        <w:rPr>
          <w:rFonts w:cstheme="minorHAnsi"/>
          <w:kern w:val="0"/>
        </w:rPr>
        <w:t>–</w:t>
      </w:r>
      <w:r w:rsidR="0039419C" w:rsidRPr="0039419C">
        <w:t xml:space="preserve">2027 </w:t>
      </w:r>
      <w:r w:rsidR="0039419C">
        <w:t xml:space="preserve">iz </w:t>
      </w:r>
      <w:r w:rsidR="0039419C" w:rsidRPr="0039419C">
        <w:t>julij</w:t>
      </w:r>
      <w:r w:rsidR="0039419C">
        <w:t>a</w:t>
      </w:r>
      <w:r w:rsidR="0039419C" w:rsidRPr="0039419C">
        <w:t xml:space="preserve"> 2022</w:t>
      </w:r>
      <w:r w:rsidR="0039419C">
        <w:t>.</w:t>
      </w:r>
    </w:p>
    <w:p w14:paraId="395AC37D" w14:textId="77777777" w:rsidR="00B0258F" w:rsidRDefault="00B0258F" w:rsidP="00E46C20">
      <w:pPr>
        <w:spacing w:after="0"/>
        <w:jc w:val="both"/>
      </w:pPr>
    </w:p>
    <w:p w14:paraId="6A166746" w14:textId="77777777" w:rsidR="00890F46" w:rsidRDefault="00890F46" w:rsidP="00363A1D">
      <w:pPr>
        <w:spacing w:after="0"/>
        <w:ind w:left="142"/>
        <w:jc w:val="both"/>
      </w:pPr>
    </w:p>
    <w:p w14:paraId="00AD16AA" w14:textId="04166EE3" w:rsidR="00890F46" w:rsidRDefault="00890F46" w:rsidP="00E46C20">
      <w:pPr>
        <w:pStyle w:val="Odstavekseznama"/>
        <w:numPr>
          <w:ilvl w:val="0"/>
          <w:numId w:val="11"/>
        </w:numPr>
        <w:spacing w:after="0"/>
        <w:jc w:val="both"/>
      </w:pPr>
      <w:r w:rsidRPr="00E46C20">
        <w:rPr>
          <w:b/>
          <w:bCs/>
          <w:u w:val="single"/>
        </w:rPr>
        <w:lastRenderedPageBreak/>
        <w:t>Sprememba Razsežnosti 1 – področje ukrepanja</w:t>
      </w:r>
      <w:r>
        <w:t xml:space="preserve">: </w:t>
      </w:r>
    </w:p>
    <w:p w14:paraId="376B717D" w14:textId="77777777" w:rsidR="00E46C20" w:rsidRDefault="00E46C20" w:rsidP="00E46C20">
      <w:pPr>
        <w:spacing w:after="0"/>
        <w:jc w:val="both"/>
      </w:pPr>
    </w:p>
    <w:p w14:paraId="5B3B6281" w14:textId="7F5C52AA" w:rsidR="00890F46" w:rsidRDefault="00890F46" w:rsidP="00E46C20">
      <w:pPr>
        <w:spacing w:after="0"/>
        <w:jc w:val="both"/>
      </w:pPr>
      <w:r w:rsidRPr="00890F46">
        <w:t>002. Naložbe v osnovna sredstva, vključno v raziskovalno infrastrukturo, v MSP (vključno z zasebnimi raziskovalnimi središči), ki so neposredno povezane z raziskovalnimi in inovacijskimi dejavnostmi</w:t>
      </w:r>
      <w:r>
        <w:t xml:space="preserve"> (bolj razvite regije): znesek se zviša na </w:t>
      </w:r>
      <w:r w:rsidRPr="00890F46">
        <w:t>14.623.856,25</w:t>
      </w:r>
      <w:r>
        <w:t xml:space="preserve"> EUR.</w:t>
      </w:r>
    </w:p>
    <w:p w14:paraId="478DC46B" w14:textId="77777777" w:rsidR="00E46C20" w:rsidRDefault="00E46C20" w:rsidP="00E46C20">
      <w:pPr>
        <w:spacing w:after="0"/>
        <w:jc w:val="both"/>
      </w:pPr>
    </w:p>
    <w:p w14:paraId="7B5103D2" w14:textId="13DC4490" w:rsidR="00890F46" w:rsidRDefault="00890F46" w:rsidP="00E46C20">
      <w:pPr>
        <w:spacing w:after="0"/>
        <w:jc w:val="both"/>
      </w:pPr>
      <w:r w:rsidRPr="00890F46">
        <w:t>002. Naložbe v osnovna sredstva, vključno v raziskovalno infrastrukturo, v MSP (vključno z zasebnimi raziskovalnimi središči), ki so neposredno povezane z raziskovalnimi in inovacijskimi dejavnostmi (</w:t>
      </w:r>
      <w:r>
        <w:t>manj</w:t>
      </w:r>
      <w:r w:rsidRPr="00890F46">
        <w:t xml:space="preserve"> razvite regije): znesek se zviša na 36.959.467,59 EUR.</w:t>
      </w:r>
    </w:p>
    <w:p w14:paraId="511E4255" w14:textId="77777777" w:rsidR="00E46C20" w:rsidRDefault="00E46C20" w:rsidP="00E46C20">
      <w:pPr>
        <w:spacing w:after="0"/>
        <w:jc w:val="both"/>
      </w:pPr>
    </w:p>
    <w:p w14:paraId="6486479C" w14:textId="24B50F72" w:rsidR="00890F46" w:rsidRDefault="001478DA" w:rsidP="00E46C20">
      <w:pPr>
        <w:spacing w:after="0"/>
        <w:jc w:val="both"/>
      </w:pPr>
      <w:r w:rsidRPr="001478DA">
        <w:t>003. Naložbe v osnovna sredstva, vključno v raziskovalno infrastrukturo, v velikih podjetjih, ki so neposredno povezane z raziskovalnimi in inovacijskimi dejavnostmi</w:t>
      </w:r>
      <w:r>
        <w:t xml:space="preserve"> (bolj razvite regije): znesek se zviša na </w:t>
      </w:r>
      <w:r w:rsidRPr="001478DA">
        <w:t>5.139.608,80</w:t>
      </w:r>
      <w:r>
        <w:t xml:space="preserve"> EUR.</w:t>
      </w:r>
    </w:p>
    <w:p w14:paraId="735E811F" w14:textId="655BED72" w:rsidR="001478DA" w:rsidRDefault="001478DA" w:rsidP="00E46C20">
      <w:pPr>
        <w:spacing w:after="0"/>
        <w:jc w:val="both"/>
      </w:pPr>
      <w:r w:rsidRPr="001478DA">
        <w:t>003. Naložbe v osnovna sredstva, vključno v raziskovalno infrastrukturo, v velikih podjetjih, ki so neposredno povezane z raziskovalnimi in inovacijskimi dejavnostmi (</w:t>
      </w:r>
      <w:r>
        <w:t>manj</w:t>
      </w:r>
      <w:r w:rsidRPr="001478DA">
        <w:t xml:space="preserve"> razvite regije): znesek se zviša na 12.417.310,42 EUR.</w:t>
      </w:r>
    </w:p>
    <w:p w14:paraId="7F456E8B" w14:textId="77777777" w:rsidR="001478DA" w:rsidRDefault="001478DA" w:rsidP="00890F46">
      <w:pPr>
        <w:spacing w:after="0"/>
        <w:ind w:left="142"/>
        <w:jc w:val="both"/>
      </w:pPr>
    </w:p>
    <w:p w14:paraId="3DB725F2" w14:textId="1C4D7F29" w:rsidR="001478DA" w:rsidRDefault="001478DA" w:rsidP="00E46C20">
      <w:pPr>
        <w:spacing w:after="0"/>
        <w:jc w:val="both"/>
      </w:pPr>
      <w:r w:rsidRPr="001478DA">
        <w:t>010. Raziskovalne in inovacijske dejavnosti v MSP, vključno z mreženjem</w:t>
      </w:r>
      <w:r>
        <w:t xml:space="preserve"> (bolj razvite regije): </w:t>
      </w:r>
      <w:r w:rsidRPr="001478DA">
        <w:t>znesek se z</w:t>
      </w:r>
      <w:r>
        <w:t>niža</w:t>
      </w:r>
      <w:r w:rsidRPr="001478DA">
        <w:t xml:space="preserve"> na 27.837.704,03 EUR.</w:t>
      </w:r>
    </w:p>
    <w:p w14:paraId="3F662A98" w14:textId="77777777" w:rsidR="001478DA" w:rsidRDefault="001478DA" w:rsidP="00890F46">
      <w:pPr>
        <w:spacing w:after="0"/>
        <w:ind w:left="142"/>
        <w:jc w:val="both"/>
      </w:pPr>
    </w:p>
    <w:p w14:paraId="13B6526A" w14:textId="783B3354" w:rsidR="001478DA" w:rsidRDefault="001478DA" w:rsidP="00E46C20">
      <w:pPr>
        <w:spacing w:after="0"/>
        <w:jc w:val="both"/>
      </w:pPr>
      <w:r w:rsidRPr="001478DA">
        <w:t>010. Raziskovalne in inovacijske dejavnosti v MSP, vključno z mreženjem (</w:t>
      </w:r>
      <w:r>
        <w:t>manj</w:t>
      </w:r>
      <w:r w:rsidRPr="001478DA">
        <w:t xml:space="preserve"> razvite regije): znesek se zniža na 73.594.870,72 EUR.</w:t>
      </w:r>
    </w:p>
    <w:p w14:paraId="078C797E" w14:textId="77777777" w:rsidR="00E46C20" w:rsidRDefault="00E46C20" w:rsidP="00E46C20">
      <w:pPr>
        <w:spacing w:after="0"/>
        <w:jc w:val="both"/>
      </w:pPr>
    </w:p>
    <w:p w14:paraId="10D7C0B8" w14:textId="10E3A062" w:rsidR="001478DA" w:rsidRDefault="001478DA" w:rsidP="00E46C20">
      <w:pPr>
        <w:spacing w:after="0"/>
        <w:jc w:val="both"/>
      </w:pPr>
      <w:r w:rsidRPr="001478DA">
        <w:t>011. Raziskovalne in inovacijske dejavnosti v velikih podjetjih, vključno z mreženjem</w:t>
      </w:r>
      <w:r>
        <w:t xml:space="preserve"> (bolj razvite regije): </w:t>
      </w:r>
      <w:r w:rsidRPr="001478DA">
        <w:t>znesek se zniža na</w:t>
      </w:r>
      <w:r>
        <w:t xml:space="preserve"> </w:t>
      </w:r>
      <w:r w:rsidRPr="001478DA">
        <w:t>6.847.928,06 EUR.</w:t>
      </w:r>
    </w:p>
    <w:p w14:paraId="0CA44993" w14:textId="77777777" w:rsidR="00E46C20" w:rsidRDefault="00E46C20" w:rsidP="00E46C20">
      <w:pPr>
        <w:spacing w:after="0"/>
        <w:jc w:val="both"/>
      </w:pPr>
    </w:p>
    <w:p w14:paraId="0670E474" w14:textId="331D787E" w:rsidR="001478DA" w:rsidRDefault="001478DA" w:rsidP="00E46C20">
      <w:pPr>
        <w:spacing w:after="0"/>
        <w:jc w:val="both"/>
      </w:pPr>
      <w:r w:rsidRPr="001478DA">
        <w:t>011. Raziskovalne in inovacijske dejavnosti v velikih podjetjih, vključno z mreženjem (</w:t>
      </w:r>
      <w:r>
        <w:t>manj</w:t>
      </w:r>
      <w:r w:rsidRPr="001478DA">
        <w:t xml:space="preserve"> razvite regije): znesek se zniža na 14.201.349,42 EUR.</w:t>
      </w:r>
    </w:p>
    <w:p w14:paraId="4EDCAECB" w14:textId="77777777" w:rsidR="00E46C20" w:rsidRDefault="00E46C20" w:rsidP="00E46C20">
      <w:pPr>
        <w:spacing w:after="0"/>
        <w:jc w:val="both"/>
      </w:pPr>
    </w:p>
    <w:p w14:paraId="2A4B6189" w14:textId="15A7510A" w:rsidR="00F4632A" w:rsidRDefault="00F4632A" w:rsidP="00E46C20">
      <w:pPr>
        <w:spacing w:after="0"/>
        <w:jc w:val="both"/>
      </w:pPr>
      <w:r w:rsidRPr="00F4632A">
        <w:t xml:space="preserve">029. Raziskovalni in inovacijski procesi, prenos tehnologije ter sodelovanje med podjetji, raziskovalnimi središči in univerzami s poudarkom na </w:t>
      </w:r>
      <w:proofErr w:type="spellStart"/>
      <w:r w:rsidRPr="00F4632A">
        <w:t>nizkoogljičnem</w:t>
      </w:r>
      <w:proofErr w:type="spellEnd"/>
      <w:r w:rsidRPr="00F4632A">
        <w:t xml:space="preserve"> gospodarstvu, odpornosti in prilagajanju podnebnim spremembam</w:t>
      </w:r>
      <w:r>
        <w:t xml:space="preserve"> (bolj razvite regije): </w:t>
      </w:r>
      <w:r w:rsidR="00F32AC0" w:rsidRPr="00F32AC0">
        <w:t>znesek se zniža na 7.037.289,58 EUR.</w:t>
      </w:r>
    </w:p>
    <w:p w14:paraId="1210016E" w14:textId="77777777" w:rsidR="00E46C20" w:rsidRDefault="00E46C20" w:rsidP="00E46C20">
      <w:pPr>
        <w:spacing w:after="0"/>
        <w:jc w:val="both"/>
      </w:pPr>
    </w:p>
    <w:p w14:paraId="2643C96E" w14:textId="032A8A80" w:rsidR="00F32AC0" w:rsidRDefault="00F32AC0" w:rsidP="00E46C20">
      <w:pPr>
        <w:spacing w:after="0"/>
        <w:jc w:val="both"/>
      </w:pPr>
      <w:r w:rsidRPr="00F32AC0">
        <w:t xml:space="preserve">029. Raziskovalni in inovacijski procesi, prenos tehnologije ter sodelovanje med podjetji, raziskovalnimi središči in univerzami s poudarkom na </w:t>
      </w:r>
      <w:proofErr w:type="spellStart"/>
      <w:r w:rsidRPr="00F32AC0">
        <w:t>nizkoogljičnem</w:t>
      </w:r>
      <w:proofErr w:type="spellEnd"/>
      <w:r w:rsidRPr="00F32AC0">
        <w:t xml:space="preserve"> gospodarstvu, odpornosti in prilagajanju podnebnim spremembam (</w:t>
      </w:r>
      <w:r>
        <w:t>manj</w:t>
      </w:r>
      <w:r w:rsidRPr="00F32AC0">
        <w:t xml:space="preserve"> razvite regije): znesek se zniža na 11.030.238,13 EUR.</w:t>
      </w:r>
    </w:p>
    <w:p w14:paraId="0B8344E3" w14:textId="77777777" w:rsidR="00E46C20" w:rsidRDefault="00E46C20" w:rsidP="00E46C20">
      <w:pPr>
        <w:spacing w:after="0"/>
        <w:jc w:val="both"/>
      </w:pPr>
    </w:p>
    <w:p w14:paraId="64AE6EAD" w14:textId="0B13A3E5" w:rsidR="00F32AC0" w:rsidRDefault="00F32AC0" w:rsidP="00E46C20">
      <w:pPr>
        <w:spacing w:after="0"/>
        <w:jc w:val="both"/>
      </w:pPr>
      <w:r>
        <w:t xml:space="preserve">Skupna vrednost se zniža na </w:t>
      </w:r>
      <w:r w:rsidRPr="00F32AC0">
        <w:t>406.892.000,00</w:t>
      </w:r>
      <w:r>
        <w:t xml:space="preserve"> EUR.</w:t>
      </w:r>
    </w:p>
    <w:p w14:paraId="1A5585B1" w14:textId="77777777" w:rsidR="00E46C20" w:rsidRDefault="00E46C20" w:rsidP="00E46C20">
      <w:pPr>
        <w:spacing w:after="0"/>
        <w:jc w:val="both"/>
      </w:pPr>
    </w:p>
    <w:p w14:paraId="57532892" w14:textId="45F670E3" w:rsidR="00F32AC0" w:rsidRDefault="00F32AC0" w:rsidP="00E46C20">
      <w:pPr>
        <w:spacing w:after="0"/>
        <w:jc w:val="both"/>
      </w:pPr>
      <w:r w:rsidRPr="000B3E1A">
        <w:rPr>
          <w:u w:val="single"/>
        </w:rPr>
        <w:t>Obrazložitev</w:t>
      </w:r>
      <w:r>
        <w:t xml:space="preserve">: </w:t>
      </w:r>
      <w:r w:rsidRPr="00F32AC0">
        <w:t>Sprem</w:t>
      </w:r>
      <w:r>
        <w:t>embe vrednosti posameznega področja ukrepanja so nastale zaradi spremenjenih dejstev kot sta prenosa za namene FI in STEP.</w:t>
      </w:r>
    </w:p>
    <w:p w14:paraId="3D494044" w14:textId="77777777" w:rsidR="00F32AC0" w:rsidRDefault="00F32AC0" w:rsidP="00890F46">
      <w:pPr>
        <w:spacing w:after="0"/>
        <w:ind w:left="142"/>
        <w:jc w:val="both"/>
      </w:pPr>
    </w:p>
    <w:p w14:paraId="0869134B" w14:textId="4344CCB1" w:rsidR="00F32AC0" w:rsidRDefault="00F32AC0" w:rsidP="00E46C20">
      <w:pPr>
        <w:pStyle w:val="Odstavekseznama"/>
        <w:numPr>
          <w:ilvl w:val="0"/>
          <w:numId w:val="11"/>
        </w:numPr>
        <w:spacing w:after="0"/>
        <w:jc w:val="both"/>
      </w:pPr>
      <w:r w:rsidRPr="00E46C20">
        <w:rPr>
          <w:b/>
          <w:bCs/>
          <w:u w:val="single"/>
        </w:rPr>
        <w:t>Sprememba Razsežnosti 2 – oblika financiranja</w:t>
      </w:r>
      <w:r>
        <w:t>:</w:t>
      </w:r>
    </w:p>
    <w:p w14:paraId="55A14CB0" w14:textId="77777777" w:rsidR="00E46C20" w:rsidRDefault="00E46C20" w:rsidP="00E46C20">
      <w:pPr>
        <w:spacing w:after="0"/>
        <w:jc w:val="both"/>
      </w:pPr>
    </w:p>
    <w:p w14:paraId="24EA6CF8" w14:textId="5DF686E1" w:rsidR="00F32AC0" w:rsidRDefault="00CA4FFB" w:rsidP="00E46C20">
      <w:pPr>
        <w:spacing w:after="0"/>
        <w:jc w:val="both"/>
      </w:pPr>
      <w:r>
        <w:t xml:space="preserve">01. </w:t>
      </w:r>
      <w:r w:rsidR="006B5E8B" w:rsidRPr="006B5E8B">
        <w:t>Nepovratna sredstva</w:t>
      </w:r>
      <w:r w:rsidR="006B5E8B">
        <w:t xml:space="preserve"> (bolj razvite regije): </w:t>
      </w:r>
      <w:r w:rsidRPr="00CA4FFB">
        <w:t>znesek se zniža na 116.540.999,85 EUR</w:t>
      </w:r>
      <w:r>
        <w:t>.</w:t>
      </w:r>
    </w:p>
    <w:p w14:paraId="52EE1EF1" w14:textId="77777777" w:rsidR="00E46C20" w:rsidRDefault="00E46C20" w:rsidP="00E46C20">
      <w:pPr>
        <w:spacing w:after="0"/>
        <w:jc w:val="both"/>
      </w:pPr>
    </w:p>
    <w:p w14:paraId="0953EDA2" w14:textId="2807EBCF" w:rsidR="00CA4FFB" w:rsidRDefault="00CA4FFB" w:rsidP="00E46C20">
      <w:pPr>
        <w:spacing w:after="0"/>
        <w:jc w:val="both"/>
      </w:pPr>
      <w:r>
        <w:t xml:space="preserve">01. </w:t>
      </w:r>
      <w:r w:rsidRPr="00CA4FFB">
        <w:t>Nepovratna sredstva (</w:t>
      </w:r>
      <w:r>
        <w:t>manj</w:t>
      </w:r>
      <w:r w:rsidRPr="00CA4FFB">
        <w:t xml:space="preserve"> razvite regije): znesek se zniža na 240.351.000,15 EUR.</w:t>
      </w:r>
    </w:p>
    <w:p w14:paraId="0E00FC1B" w14:textId="77777777" w:rsidR="00E46C20" w:rsidRDefault="00E46C20" w:rsidP="00E46C20">
      <w:pPr>
        <w:spacing w:after="0"/>
        <w:jc w:val="both"/>
      </w:pPr>
    </w:p>
    <w:p w14:paraId="46BB7A18" w14:textId="1425ECFA" w:rsidR="00CA4FFB" w:rsidRDefault="00CA4FFB" w:rsidP="00E46C20">
      <w:pPr>
        <w:spacing w:after="0"/>
        <w:jc w:val="both"/>
      </w:pPr>
      <w:r>
        <w:t xml:space="preserve">03. </w:t>
      </w:r>
      <w:r w:rsidRPr="00CA4FFB">
        <w:t>Podpora prek finančnih instrumentov: posojila</w:t>
      </w:r>
      <w:r>
        <w:t xml:space="preserve"> (bolj razvite regije) znesek se zviša na </w:t>
      </w:r>
      <w:r w:rsidRPr="00CA4FFB">
        <w:t>13.796.266,87</w:t>
      </w:r>
      <w:r>
        <w:t xml:space="preserve"> EUR.</w:t>
      </w:r>
    </w:p>
    <w:p w14:paraId="274DD8BB" w14:textId="77777777" w:rsidR="00E46C20" w:rsidRDefault="00E46C20" w:rsidP="00E46C20">
      <w:pPr>
        <w:spacing w:after="0"/>
        <w:jc w:val="both"/>
      </w:pPr>
    </w:p>
    <w:p w14:paraId="40216EEE" w14:textId="56D43DA5" w:rsidR="00CA4FFB" w:rsidRDefault="00CA4FFB" w:rsidP="00E46C20">
      <w:pPr>
        <w:spacing w:after="0"/>
        <w:jc w:val="both"/>
      </w:pPr>
      <w:r>
        <w:t xml:space="preserve">03. </w:t>
      </w:r>
      <w:r w:rsidRPr="00CA4FFB">
        <w:t>Podpora prek finančnih instrumentov: posojila (</w:t>
      </w:r>
      <w:r>
        <w:t>manj</w:t>
      </w:r>
      <w:r w:rsidRPr="00CA4FFB">
        <w:t xml:space="preserve"> razvite regije) znesek se zviša na 36.203.733,13 EUR.</w:t>
      </w:r>
    </w:p>
    <w:p w14:paraId="040DB720" w14:textId="77777777" w:rsidR="00E46C20" w:rsidRDefault="00E46C20" w:rsidP="00E46C20">
      <w:pPr>
        <w:spacing w:after="0"/>
        <w:jc w:val="both"/>
      </w:pPr>
    </w:p>
    <w:p w14:paraId="07E2DB13" w14:textId="70804616" w:rsidR="00CA4FFB" w:rsidRDefault="00CA4FFB" w:rsidP="00E46C20">
      <w:pPr>
        <w:spacing w:after="0"/>
        <w:jc w:val="both"/>
      </w:pPr>
      <w:r>
        <w:t xml:space="preserve">Skupna vrednost se zniža na </w:t>
      </w:r>
      <w:r w:rsidRPr="00CA4FFB">
        <w:t>406.892.000,00</w:t>
      </w:r>
      <w:r>
        <w:t xml:space="preserve"> EUR.</w:t>
      </w:r>
    </w:p>
    <w:p w14:paraId="4715442F" w14:textId="77777777" w:rsidR="00CA4FFB" w:rsidRDefault="00CA4FFB" w:rsidP="00CA4FFB">
      <w:pPr>
        <w:spacing w:after="0"/>
        <w:jc w:val="both"/>
      </w:pPr>
    </w:p>
    <w:p w14:paraId="44F59CCC" w14:textId="79568A6E" w:rsidR="00CA4FFB" w:rsidRDefault="00CA4FFB" w:rsidP="00CA4FFB">
      <w:pPr>
        <w:spacing w:after="0"/>
        <w:jc w:val="both"/>
      </w:pPr>
      <w:r w:rsidRPr="000B3E1A">
        <w:rPr>
          <w:u w:val="single"/>
        </w:rPr>
        <w:lastRenderedPageBreak/>
        <w:t>Obrazložitev</w:t>
      </w:r>
      <w:r>
        <w:t xml:space="preserve">: </w:t>
      </w:r>
      <w:r w:rsidRPr="00CA4FFB">
        <w:t>Spremembe vrednosti posameznega področja ukrepanja so nastale zaradi spremenjenih dejstev kot sta prenosa za namene FI in STEP.</w:t>
      </w:r>
    </w:p>
    <w:p w14:paraId="0EEF5ED9" w14:textId="77777777" w:rsidR="00FD2F69" w:rsidRDefault="00FD2F69" w:rsidP="00CA4FFB">
      <w:pPr>
        <w:spacing w:after="0"/>
        <w:jc w:val="both"/>
      </w:pPr>
    </w:p>
    <w:p w14:paraId="10954EBE" w14:textId="775BD300" w:rsidR="00FD2F69" w:rsidRDefault="00FD2F69" w:rsidP="00E46C20">
      <w:pPr>
        <w:pStyle w:val="Odstavekseznama"/>
        <w:numPr>
          <w:ilvl w:val="0"/>
          <w:numId w:val="11"/>
        </w:numPr>
        <w:spacing w:after="0"/>
        <w:jc w:val="both"/>
      </w:pPr>
      <w:r w:rsidRPr="00E46C20">
        <w:rPr>
          <w:b/>
          <w:bCs/>
          <w:u w:val="single"/>
        </w:rPr>
        <w:t>Sprememba Razsežnosti 3 – mehanizem za ozemeljsko izvrševanje in ozemeljski pristop</w:t>
      </w:r>
      <w:r>
        <w:t>:</w:t>
      </w:r>
    </w:p>
    <w:p w14:paraId="46BF06BB" w14:textId="77777777" w:rsidR="00E46C20" w:rsidRDefault="00E46C20" w:rsidP="00E46C20">
      <w:pPr>
        <w:spacing w:after="0"/>
        <w:jc w:val="both"/>
      </w:pPr>
      <w:bookmarkStart w:id="66" w:name="_Hlk188499983"/>
    </w:p>
    <w:p w14:paraId="3C4F1E8B" w14:textId="10C3E89A" w:rsidR="00F63C8D" w:rsidRDefault="00F63C8D" w:rsidP="00E46C20">
      <w:pPr>
        <w:spacing w:after="0"/>
        <w:jc w:val="both"/>
      </w:pPr>
      <w:r w:rsidRPr="00F63C8D">
        <w:t>33. Drugi pristopi – brez ozemeljskega ciljnega usmerjanja</w:t>
      </w:r>
      <w:r>
        <w:t xml:space="preserve"> (bolj razvite regije): znesek se zniža na </w:t>
      </w:r>
      <w:r w:rsidRPr="00F63C8D">
        <w:t>130.337.266,72</w:t>
      </w:r>
      <w:r>
        <w:t xml:space="preserve"> EUR.</w:t>
      </w:r>
    </w:p>
    <w:bookmarkEnd w:id="66"/>
    <w:p w14:paraId="15E6695B" w14:textId="77777777" w:rsidR="00E46C20" w:rsidRDefault="00E46C20" w:rsidP="00E46C20">
      <w:pPr>
        <w:spacing w:after="0"/>
        <w:jc w:val="both"/>
      </w:pPr>
    </w:p>
    <w:p w14:paraId="44746E8B" w14:textId="297202E9" w:rsidR="00F63C8D" w:rsidRDefault="00F63C8D" w:rsidP="00E46C20">
      <w:pPr>
        <w:spacing w:after="0"/>
        <w:jc w:val="both"/>
      </w:pPr>
      <w:r w:rsidRPr="00F63C8D">
        <w:t>33. Drugi pristopi – brez ozemeljskega ciljnega usmerjanja (</w:t>
      </w:r>
      <w:r>
        <w:t>manj</w:t>
      </w:r>
      <w:r w:rsidRPr="00F63C8D">
        <w:t xml:space="preserve"> razvite regije): znesek se zniža na 276.554.733,28 EUR.</w:t>
      </w:r>
    </w:p>
    <w:p w14:paraId="0422C312" w14:textId="77777777" w:rsidR="00E46C20" w:rsidRDefault="00E46C20" w:rsidP="00E46C20">
      <w:pPr>
        <w:spacing w:after="0"/>
        <w:jc w:val="both"/>
      </w:pPr>
    </w:p>
    <w:p w14:paraId="4A176548" w14:textId="43649130" w:rsidR="00F63C8D" w:rsidRDefault="00F63C8D" w:rsidP="00E46C20">
      <w:pPr>
        <w:spacing w:after="0"/>
        <w:jc w:val="both"/>
      </w:pPr>
      <w:r>
        <w:t xml:space="preserve">Skupna vrednost se zniža na </w:t>
      </w:r>
      <w:r w:rsidRPr="00F63C8D">
        <w:t>406.892.000,00</w:t>
      </w:r>
      <w:r>
        <w:t xml:space="preserve"> EUR.</w:t>
      </w:r>
    </w:p>
    <w:p w14:paraId="1EB837E1" w14:textId="77777777" w:rsidR="00E46C20" w:rsidRDefault="00E46C20" w:rsidP="00E46C20">
      <w:pPr>
        <w:spacing w:after="0"/>
        <w:jc w:val="both"/>
      </w:pPr>
    </w:p>
    <w:p w14:paraId="478226AC" w14:textId="44A23AD8" w:rsidR="00F63C8D" w:rsidRDefault="00F63C8D" w:rsidP="00E46C20">
      <w:pPr>
        <w:spacing w:after="0"/>
        <w:jc w:val="both"/>
      </w:pPr>
      <w:r w:rsidRPr="000B3E1A">
        <w:rPr>
          <w:u w:val="single"/>
        </w:rPr>
        <w:t>Obrazložitev</w:t>
      </w:r>
      <w:r>
        <w:t xml:space="preserve">: </w:t>
      </w:r>
      <w:r w:rsidRPr="00F63C8D">
        <w:t>Spremembe vrednosti posameznega področja ukrepanja so nastale zaradi spremenjenih dejstev kot sta prenosa za namene FI in STEP.</w:t>
      </w:r>
    </w:p>
    <w:p w14:paraId="54E77B17" w14:textId="77777777" w:rsidR="00F63C8D" w:rsidRDefault="00F63C8D" w:rsidP="00F63C8D">
      <w:pPr>
        <w:spacing w:after="0"/>
        <w:ind w:left="142"/>
        <w:jc w:val="both"/>
      </w:pPr>
    </w:p>
    <w:p w14:paraId="60DCD823" w14:textId="20F573D8" w:rsidR="00F63C8D" w:rsidRDefault="00F63C8D" w:rsidP="00E46C20">
      <w:pPr>
        <w:pStyle w:val="Odstavekseznama"/>
        <w:numPr>
          <w:ilvl w:val="0"/>
          <w:numId w:val="11"/>
        </w:numPr>
        <w:spacing w:after="0"/>
        <w:jc w:val="both"/>
      </w:pPr>
      <w:r w:rsidRPr="00E46C20">
        <w:rPr>
          <w:b/>
          <w:bCs/>
          <w:u w:val="single"/>
        </w:rPr>
        <w:t>Sprememba Razsežnosti 7 – razsežnost enakosti spolov v okviru ESS+*, ESRR, Kohezijskega sklada in SPP</w:t>
      </w:r>
      <w:r>
        <w:t>:</w:t>
      </w:r>
    </w:p>
    <w:p w14:paraId="069E37AA" w14:textId="77777777" w:rsidR="000F4CBC" w:rsidRDefault="000F4CBC" w:rsidP="000B3E1A">
      <w:pPr>
        <w:pStyle w:val="Odstavekseznama"/>
        <w:spacing w:after="0"/>
        <w:ind w:left="360"/>
        <w:jc w:val="both"/>
      </w:pPr>
    </w:p>
    <w:p w14:paraId="3C7C686C" w14:textId="462C296D" w:rsidR="00F63C8D" w:rsidRDefault="00F63C8D" w:rsidP="00E46C20">
      <w:pPr>
        <w:spacing w:after="0"/>
        <w:jc w:val="both"/>
      </w:pPr>
      <w:r w:rsidRPr="00F63C8D">
        <w:t>03. Spolna nevtralnost</w:t>
      </w:r>
      <w:r>
        <w:t xml:space="preserve"> (bolj razvite regije): znesek se zniža na </w:t>
      </w:r>
      <w:r w:rsidRPr="00F63C8D">
        <w:t>127.537.267</w:t>
      </w:r>
      <w:r>
        <w:t>,00 EUR.</w:t>
      </w:r>
    </w:p>
    <w:p w14:paraId="2F1CB8F3" w14:textId="77777777" w:rsidR="000F4CBC" w:rsidRDefault="000F4CBC" w:rsidP="00F63C8D">
      <w:pPr>
        <w:spacing w:after="0"/>
        <w:ind w:left="142"/>
        <w:jc w:val="both"/>
      </w:pPr>
    </w:p>
    <w:p w14:paraId="71938052" w14:textId="28BB5C2C" w:rsidR="00F63C8D" w:rsidRDefault="00F63C8D" w:rsidP="00E46C20">
      <w:pPr>
        <w:spacing w:after="0"/>
        <w:jc w:val="both"/>
      </w:pPr>
      <w:r w:rsidRPr="00F63C8D">
        <w:t>03. Spolna nevtralnost (</w:t>
      </w:r>
      <w:r>
        <w:t>manj</w:t>
      </w:r>
      <w:r w:rsidRPr="00F63C8D">
        <w:t xml:space="preserve"> razvite regije): znesek se zniža na 274.004.733</w:t>
      </w:r>
      <w:r>
        <w:t>,00</w:t>
      </w:r>
      <w:r w:rsidRPr="00F63C8D">
        <w:t xml:space="preserve"> EUR.</w:t>
      </w:r>
    </w:p>
    <w:p w14:paraId="186ABB85" w14:textId="77777777" w:rsidR="00F63C8D" w:rsidRDefault="00F63C8D" w:rsidP="00F63C8D">
      <w:pPr>
        <w:spacing w:after="0"/>
        <w:ind w:firstLine="142"/>
      </w:pPr>
    </w:p>
    <w:p w14:paraId="3BD9FD2A" w14:textId="690833B7" w:rsidR="00F63C8D" w:rsidRDefault="00F63C8D" w:rsidP="00E46C20">
      <w:pPr>
        <w:spacing w:after="0"/>
      </w:pPr>
      <w:r>
        <w:t xml:space="preserve">Skupna vrednost se zniža na </w:t>
      </w:r>
      <w:r w:rsidRPr="00F63C8D">
        <w:t>406.892.000,00</w:t>
      </w:r>
      <w:r>
        <w:t xml:space="preserve"> EUR.</w:t>
      </w:r>
    </w:p>
    <w:p w14:paraId="50859693" w14:textId="77777777" w:rsidR="00F63C8D" w:rsidRDefault="00F63C8D" w:rsidP="00F63C8D">
      <w:pPr>
        <w:spacing w:after="0"/>
        <w:ind w:firstLine="142"/>
      </w:pPr>
    </w:p>
    <w:p w14:paraId="1F844B0D" w14:textId="4166907F" w:rsidR="00F63C8D" w:rsidRDefault="00F63C8D" w:rsidP="00E46C20">
      <w:pPr>
        <w:spacing w:after="0"/>
        <w:jc w:val="both"/>
      </w:pPr>
      <w:r>
        <w:t xml:space="preserve">Obrazložitev: </w:t>
      </w:r>
      <w:r w:rsidRPr="00F63C8D">
        <w:t>Spremembe vrednosti posameznega področja ukrepanja so nastale zaradi spremenjenih dejstev kot sta prenosa za namene FI in STEP.</w:t>
      </w:r>
    </w:p>
    <w:p w14:paraId="2F8A0184" w14:textId="77777777" w:rsidR="00A47A8B" w:rsidRPr="008F3668" w:rsidRDefault="00A47A8B" w:rsidP="000B3E1A">
      <w:pPr>
        <w:pStyle w:val="Odstavekseznama"/>
        <w:spacing w:after="0"/>
        <w:ind w:left="360"/>
      </w:pPr>
    </w:p>
    <w:p w14:paraId="651F1564" w14:textId="0D42D1F9" w:rsidR="008F3668" w:rsidRPr="00E01151" w:rsidRDefault="008F3668" w:rsidP="00446D40">
      <w:pPr>
        <w:pStyle w:val="Naslov3"/>
        <w:numPr>
          <w:ilvl w:val="2"/>
          <w:numId w:val="2"/>
        </w:numPr>
        <w:rPr>
          <w:color w:val="4472C4" w:themeColor="accent1"/>
        </w:rPr>
      </w:pPr>
      <w:bookmarkStart w:id="67" w:name="_Toc191383858"/>
      <w:r w:rsidRPr="00E01151">
        <w:rPr>
          <w:color w:val="4472C4" w:themeColor="accent1"/>
        </w:rPr>
        <w:t>RSO1.2. Izkoriščanje prednosti digitalizacije za državljane, podjetja, raziskovalne organizacije in javne organe (ESRR)</w:t>
      </w:r>
      <w:bookmarkEnd w:id="67"/>
      <w:r w:rsidRPr="00E01151">
        <w:rPr>
          <w:color w:val="4472C4" w:themeColor="accent1"/>
        </w:rPr>
        <w:t xml:space="preserve"> </w:t>
      </w:r>
    </w:p>
    <w:p w14:paraId="7D285481" w14:textId="77777777" w:rsidR="00DE6AD2" w:rsidRPr="00DE6AD2" w:rsidRDefault="00DE6AD2" w:rsidP="00DE6AD2">
      <w:pPr>
        <w:spacing w:after="0"/>
      </w:pPr>
    </w:p>
    <w:p w14:paraId="66FCD3ED" w14:textId="77777777" w:rsidR="00E34B1A" w:rsidRDefault="00966DFF" w:rsidP="00E46C20">
      <w:pPr>
        <w:numPr>
          <w:ilvl w:val="0"/>
          <w:numId w:val="53"/>
        </w:numPr>
        <w:autoSpaceDE w:val="0"/>
        <w:autoSpaceDN w:val="0"/>
        <w:adjustRightInd w:val="0"/>
        <w:spacing w:after="0" w:line="240" w:lineRule="auto"/>
        <w:contextualSpacing/>
        <w:jc w:val="both"/>
      </w:pPr>
      <w:bookmarkStart w:id="68" w:name="_Hlk188849967"/>
      <w:r w:rsidRPr="000B3E1A">
        <w:rPr>
          <w:b/>
          <w:bCs/>
          <w:u w:val="single"/>
        </w:rPr>
        <w:t>Sprememba višine ukrepov</w:t>
      </w:r>
      <w:r>
        <w:t xml:space="preserve">: </w:t>
      </w:r>
    </w:p>
    <w:p w14:paraId="1BD6317B" w14:textId="77777777" w:rsidR="00E34B1A" w:rsidRDefault="00E34B1A" w:rsidP="00E34B1A">
      <w:pPr>
        <w:autoSpaceDE w:val="0"/>
        <w:autoSpaceDN w:val="0"/>
        <w:adjustRightInd w:val="0"/>
        <w:spacing w:after="0" w:line="240" w:lineRule="auto"/>
        <w:contextualSpacing/>
        <w:jc w:val="both"/>
      </w:pPr>
    </w:p>
    <w:p w14:paraId="57E701EF" w14:textId="0C5B0B89" w:rsidR="00966DFF" w:rsidRDefault="00E117CD" w:rsidP="00E34B1A">
      <w:pPr>
        <w:autoSpaceDE w:val="0"/>
        <w:autoSpaceDN w:val="0"/>
        <w:adjustRightInd w:val="0"/>
        <w:spacing w:after="0" w:line="240" w:lineRule="auto"/>
        <w:contextualSpacing/>
        <w:jc w:val="both"/>
      </w:pPr>
      <w:r>
        <w:t xml:space="preserve">Nižanje sredstev zaradi ukinitve ukrepov »JR Dvig digitalne vključenosti in digitalnih kompetenc«, »JR NVO«, »Digitalna vstopna/izstopna točka Državnega odvetništva RS« in »Razvoj dodatnih orodij in optimizacija dostopa do sodne prakse« ter nižanja ukrepa »Izboljšanje spletne dostopnosti sodišč«, ki se jih prenese na nov SC RSO1.6 za namene STEP. </w:t>
      </w:r>
    </w:p>
    <w:p w14:paraId="0DC0BB6D" w14:textId="77777777" w:rsidR="00E117CD" w:rsidRDefault="00E117CD" w:rsidP="00E117CD">
      <w:pPr>
        <w:pStyle w:val="Brezrazmikov"/>
        <w:jc w:val="both"/>
      </w:pPr>
    </w:p>
    <w:p w14:paraId="4DF5CE71" w14:textId="2A42D298" w:rsidR="0021152F" w:rsidRDefault="00E117CD" w:rsidP="00E117CD">
      <w:pPr>
        <w:pStyle w:val="Brezrazmikov"/>
        <w:jc w:val="both"/>
      </w:pPr>
      <w:r w:rsidRPr="000B3E1A">
        <w:rPr>
          <w:u w:val="single"/>
        </w:rPr>
        <w:t>Obrazložitev</w:t>
      </w:r>
      <w:r>
        <w:t xml:space="preserve">: </w:t>
      </w:r>
      <w:r w:rsidR="0021152F">
        <w:t xml:space="preserve">Skupna višina ukrepov se zniža </w:t>
      </w:r>
      <w:r w:rsidR="0021152F" w:rsidRPr="0021152F">
        <w:t>zaradi prenosa sredstev na nov SC RSO1.6 za namene STEP</w:t>
      </w:r>
      <w:r w:rsidR="0021152F">
        <w:t>.</w:t>
      </w:r>
    </w:p>
    <w:p w14:paraId="63078D77" w14:textId="77777777" w:rsidR="000F4CBC" w:rsidRDefault="000F4CBC" w:rsidP="00E117CD">
      <w:pPr>
        <w:pStyle w:val="Brezrazmikov"/>
        <w:jc w:val="both"/>
      </w:pPr>
    </w:p>
    <w:bookmarkEnd w:id="68"/>
    <w:p w14:paraId="236B63A7" w14:textId="55CDECE1" w:rsidR="0021152F" w:rsidRDefault="0021152F" w:rsidP="00E46C20">
      <w:pPr>
        <w:numPr>
          <w:ilvl w:val="0"/>
          <w:numId w:val="53"/>
        </w:numPr>
        <w:autoSpaceDE w:val="0"/>
        <w:autoSpaceDN w:val="0"/>
        <w:adjustRightInd w:val="0"/>
        <w:spacing w:after="0" w:line="240" w:lineRule="auto"/>
        <w:contextualSpacing/>
        <w:jc w:val="both"/>
      </w:pPr>
      <w:r w:rsidRPr="000B3E1A">
        <w:rPr>
          <w:b/>
          <w:bCs/>
          <w:u w:val="single"/>
        </w:rPr>
        <w:t>Sprememba kazalnikov učinka</w:t>
      </w:r>
      <w:r>
        <w:rPr>
          <w:b/>
          <w:bCs/>
          <w:u w:val="single"/>
        </w:rPr>
        <w:t xml:space="preserve"> RCO01, RCO02 in RCO04</w:t>
      </w:r>
      <w:r>
        <w:t>:</w:t>
      </w:r>
    </w:p>
    <w:p w14:paraId="3EF31577" w14:textId="77777777" w:rsidR="00DD52C8" w:rsidRDefault="00DD52C8" w:rsidP="00DD52C8">
      <w:pPr>
        <w:autoSpaceDE w:val="0"/>
        <w:autoSpaceDN w:val="0"/>
        <w:adjustRightInd w:val="0"/>
        <w:spacing w:after="0" w:line="240" w:lineRule="auto"/>
        <w:ind w:left="360"/>
        <w:contextualSpacing/>
        <w:jc w:val="both"/>
      </w:pPr>
    </w:p>
    <w:p w14:paraId="219A38C4" w14:textId="7CC840AB" w:rsidR="0021152F" w:rsidRDefault="0021152F" w:rsidP="0021152F">
      <w:pPr>
        <w:pStyle w:val="Brezrazmikov"/>
        <w:jc w:val="both"/>
      </w:pPr>
      <w:r w:rsidRPr="0021152F">
        <w:t xml:space="preserve">Podjetja, ki so prejela podporo (od tega: </w:t>
      </w:r>
      <w:proofErr w:type="spellStart"/>
      <w:r w:rsidRPr="0021152F">
        <w:t>mikro</w:t>
      </w:r>
      <w:proofErr w:type="spellEnd"/>
      <w:r w:rsidRPr="0021152F">
        <w:t>, mala, srednja, velika)</w:t>
      </w:r>
      <w:r>
        <w:t xml:space="preserve"> (bolj razvite regije), kjer se ciljna vrednost zmanjša za 870 na novo ciljno vrednost 80.</w:t>
      </w:r>
    </w:p>
    <w:p w14:paraId="0CC688DE" w14:textId="77777777" w:rsidR="0021152F" w:rsidRDefault="0021152F" w:rsidP="0021152F">
      <w:pPr>
        <w:pStyle w:val="Brezrazmikov"/>
        <w:jc w:val="both"/>
      </w:pPr>
    </w:p>
    <w:p w14:paraId="367E74DB" w14:textId="69225A2F" w:rsidR="0021152F" w:rsidRDefault="0021152F" w:rsidP="0021152F">
      <w:pPr>
        <w:pStyle w:val="Brezrazmikov"/>
        <w:jc w:val="both"/>
      </w:pPr>
      <w:r w:rsidRPr="0021152F">
        <w:t xml:space="preserve">Podjetja, ki so prejela podporo (od tega: </w:t>
      </w:r>
      <w:proofErr w:type="spellStart"/>
      <w:r w:rsidRPr="0021152F">
        <w:t>mikro</w:t>
      </w:r>
      <w:proofErr w:type="spellEnd"/>
      <w:r w:rsidRPr="0021152F">
        <w:t>, mala, srednja, velika) (</w:t>
      </w:r>
      <w:r>
        <w:t>manj</w:t>
      </w:r>
      <w:r w:rsidRPr="0021152F">
        <w:t xml:space="preserve"> razvite regije), kjer se ciljna vrednost zmanjša za </w:t>
      </w:r>
      <w:r>
        <w:t>1.140</w:t>
      </w:r>
      <w:r w:rsidRPr="0021152F">
        <w:t xml:space="preserve"> na novo ciljno vrednost </w:t>
      </w:r>
      <w:r>
        <w:t>9</w:t>
      </w:r>
      <w:r w:rsidRPr="0021152F">
        <w:t>0.</w:t>
      </w:r>
    </w:p>
    <w:p w14:paraId="1F0A0903" w14:textId="77777777" w:rsidR="0021152F" w:rsidRDefault="0021152F" w:rsidP="0021152F">
      <w:pPr>
        <w:pStyle w:val="Brezrazmikov"/>
        <w:jc w:val="both"/>
      </w:pPr>
    </w:p>
    <w:p w14:paraId="400B2870" w14:textId="0C603348" w:rsidR="006E683C" w:rsidRDefault="006E683C" w:rsidP="0021152F">
      <w:pPr>
        <w:pStyle w:val="Brezrazmikov"/>
        <w:jc w:val="both"/>
      </w:pPr>
      <w:r w:rsidRPr="006E683C">
        <w:t>Podjetja, ki so prejela podporo v obliki nepovratnih sredstev</w:t>
      </w:r>
      <w:r>
        <w:t xml:space="preserve"> (bolj razvite regije), kjer se ciljna vrednost poveča za 32 na novo ciljno vrednost 80.</w:t>
      </w:r>
    </w:p>
    <w:p w14:paraId="652392DF" w14:textId="77777777" w:rsidR="006E683C" w:rsidRDefault="006E683C" w:rsidP="0021152F">
      <w:pPr>
        <w:pStyle w:val="Brezrazmikov"/>
        <w:jc w:val="both"/>
      </w:pPr>
    </w:p>
    <w:p w14:paraId="28DCF85D" w14:textId="397C1FCD" w:rsidR="006E683C" w:rsidRDefault="006E683C" w:rsidP="0021152F">
      <w:pPr>
        <w:pStyle w:val="Brezrazmikov"/>
        <w:jc w:val="both"/>
      </w:pPr>
      <w:r w:rsidRPr="006E683C">
        <w:t>Podjetja, ki so prejela podporo v obliki nepovratnih sredstev (</w:t>
      </w:r>
      <w:r>
        <w:t>manj</w:t>
      </w:r>
      <w:r w:rsidRPr="006E683C">
        <w:t xml:space="preserve"> razvite regije), kjer se ciljna vrednost poveča za </w:t>
      </w:r>
      <w:r>
        <w:t>8</w:t>
      </w:r>
      <w:r w:rsidRPr="006E683C">
        <w:t xml:space="preserve"> na novo ciljno vrednost </w:t>
      </w:r>
      <w:r>
        <w:t>9</w:t>
      </w:r>
      <w:r w:rsidRPr="006E683C">
        <w:t>0.</w:t>
      </w:r>
    </w:p>
    <w:p w14:paraId="2B094214" w14:textId="77777777" w:rsidR="006E683C" w:rsidRDefault="006E683C" w:rsidP="0021152F">
      <w:pPr>
        <w:pStyle w:val="Brezrazmikov"/>
        <w:jc w:val="both"/>
      </w:pPr>
    </w:p>
    <w:p w14:paraId="32D88592" w14:textId="47F8F639" w:rsidR="006E683C" w:rsidRDefault="006E683C" w:rsidP="0021152F">
      <w:pPr>
        <w:pStyle w:val="Brezrazmikov"/>
        <w:jc w:val="both"/>
      </w:pPr>
      <w:r>
        <w:t>Podjetja z nefinančno podporo (bolj in manj razvite regije) se ukine.</w:t>
      </w:r>
    </w:p>
    <w:p w14:paraId="616D8D38" w14:textId="77777777" w:rsidR="0021152F" w:rsidRDefault="0021152F" w:rsidP="0021152F">
      <w:pPr>
        <w:pStyle w:val="Brezrazmikov"/>
        <w:jc w:val="both"/>
      </w:pPr>
    </w:p>
    <w:p w14:paraId="0DB3356B" w14:textId="5B123ED5" w:rsidR="0021152F" w:rsidRDefault="006E683C" w:rsidP="0021152F">
      <w:pPr>
        <w:pStyle w:val="Brezrazmikov"/>
        <w:jc w:val="both"/>
      </w:pPr>
      <w:r w:rsidRPr="000B3E1A">
        <w:rPr>
          <w:u w:val="single"/>
        </w:rPr>
        <w:lastRenderedPageBreak/>
        <w:t>Obrazložitev</w:t>
      </w:r>
      <w:r>
        <w:t xml:space="preserve">: </w:t>
      </w:r>
      <w:r w:rsidRPr="006E683C">
        <w:t>Podporn</w:t>
      </w:r>
      <w:r>
        <w:t>o</w:t>
      </w:r>
      <w:r w:rsidRPr="006E683C">
        <w:t xml:space="preserve"> okolj</w:t>
      </w:r>
      <w:r>
        <w:t>e</w:t>
      </w:r>
      <w:r w:rsidRPr="006E683C">
        <w:t xml:space="preserve"> v okviru </w:t>
      </w:r>
      <w:r>
        <w:t>ukrepa »</w:t>
      </w:r>
      <w:r w:rsidRPr="006E683C">
        <w:t>DIH</w:t>
      </w:r>
      <w:r>
        <w:t>« se</w:t>
      </w:r>
      <w:r w:rsidRPr="006E683C">
        <w:t xml:space="preserve"> ne bo izvajal</w:t>
      </w:r>
      <w:r>
        <w:t>o</w:t>
      </w:r>
      <w:r w:rsidRPr="006E683C">
        <w:t xml:space="preserve">, zato se kazalnik </w:t>
      </w:r>
      <w:r>
        <w:t>RCO04 ukine</w:t>
      </w:r>
      <w:r w:rsidRPr="006E683C">
        <w:t>. Sredstva ukrepa »Podporno in poslovno okolje za digitalno preobrazbo« se prenesejo na ukrep »P4D«</w:t>
      </w:r>
      <w:r w:rsidR="001349B7">
        <w:t>.</w:t>
      </w:r>
    </w:p>
    <w:p w14:paraId="69A9EFD4" w14:textId="49D04DB1" w:rsidR="006E683C" w:rsidRDefault="001349B7" w:rsidP="0021152F">
      <w:pPr>
        <w:pStyle w:val="Brezrazmikov"/>
        <w:jc w:val="both"/>
      </w:pPr>
      <w:r>
        <w:t>Zaradi ukinitve kazalnika</w:t>
      </w:r>
      <w:r w:rsidR="006E683C" w:rsidRPr="006E683C">
        <w:t xml:space="preserve"> RCO04</w:t>
      </w:r>
      <w:r>
        <w:t xml:space="preserve"> </w:t>
      </w:r>
      <w:r w:rsidR="006E683C" w:rsidRPr="006E683C">
        <w:t xml:space="preserve">se vrednost </w:t>
      </w:r>
      <w:r>
        <w:t xml:space="preserve">kazalnika </w:t>
      </w:r>
      <w:r w:rsidR="006E683C" w:rsidRPr="006E683C">
        <w:t>RCO01 znižuje samo na vrednost podjetij</w:t>
      </w:r>
      <w:r>
        <w:t xml:space="preserve"> v okviru</w:t>
      </w:r>
      <w:r w:rsidR="006E683C" w:rsidRPr="006E683C">
        <w:t xml:space="preserve"> ukrepa P4D</w:t>
      </w:r>
      <w:r>
        <w:t>.</w:t>
      </w:r>
    </w:p>
    <w:p w14:paraId="25218442" w14:textId="77777777" w:rsidR="001349B7" w:rsidRDefault="001349B7" w:rsidP="0021152F">
      <w:pPr>
        <w:pStyle w:val="Brezrazmikov"/>
        <w:jc w:val="both"/>
      </w:pPr>
    </w:p>
    <w:p w14:paraId="79F6A058" w14:textId="740AE667" w:rsidR="001349B7" w:rsidRDefault="001349B7" w:rsidP="00E46C20">
      <w:pPr>
        <w:pStyle w:val="Brezrazmikov"/>
        <w:numPr>
          <w:ilvl w:val="0"/>
          <w:numId w:val="53"/>
        </w:numPr>
        <w:jc w:val="both"/>
        <w:rPr>
          <w:b/>
          <w:bCs/>
          <w:u w:val="single"/>
        </w:rPr>
      </w:pPr>
      <w:r w:rsidRPr="000B3E1A">
        <w:rPr>
          <w:b/>
          <w:bCs/>
          <w:u w:val="single"/>
        </w:rPr>
        <w:t>Sprememba kazalnika rezultata RCR02:</w:t>
      </w:r>
    </w:p>
    <w:p w14:paraId="6C051B12" w14:textId="77777777" w:rsidR="00E34B1A" w:rsidRDefault="00E34B1A" w:rsidP="00E34B1A">
      <w:pPr>
        <w:pStyle w:val="Brezrazmikov"/>
        <w:ind w:left="360"/>
        <w:jc w:val="both"/>
        <w:rPr>
          <w:b/>
          <w:bCs/>
          <w:u w:val="single"/>
        </w:rPr>
      </w:pPr>
    </w:p>
    <w:p w14:paraId="596AD99D" w14:textId="7F0A2402" w:rsidR="001349B7" w:rsidRDefault="001349B7" w:rsidP="001349B7">
      <w:pPr>
        <w:pStyle w:val="Brezrazmikov"/>
        <w:jc w:val="both"/>
      </w:pPr>
      <w:r w:rsidRPr="001349B7">
        <w:t>Zasebne naložbe, ki po vrednosti dosegajo javno podporo (od tega: nepovratna sredstva, finančni instrumenti)</w:t>
      </w:r>
      <w:r>
        <w:t xml:space="preserve"> (bolj razvite regije), kjer se ciljna vrednost zviša za </w:t>
      </w:r>
      <w:r w:rsidR="00AE452A">
        <w:t xml:space="preserve">2.360.000 </w:t>
      </w:r>
      <w:r>
        <w:t xml:space="preserve">na novo ciljno vrednost </w:t>
      </w:r>
      <w:r w:rsidR="00AE452A">
        <w:t xml:space="preserve">5.600.000,00 </w:t>
      </w:r>
      <w:r>
        <w:t xml:space="preserve">EUR. </w:t>
      </w:r>
    </w:p>
    <w:p w14:paraId="2FDCCA79" w14:textId="77777777" w:rsidR="001349B7" w:rsidRDefault="001349B7" w:rsidP="001349B7">
      <w:pPr>
        <w:pStyle w:val="Brezrazmikov"/>
        <w:jc w:val="both"/>
      </w:pPr>
    </w:p>
    <w:p w14:paraId="734AF8E1" w14:textId="51BD6407" w:rsidR="004D3EE8" w:rsidRPr="001349B7" w:rsidRDefault="001349B7" w:rsidP="001349B7">
      <w:pPr>
        <w:pStyle w:val="Brezrazmikov"/>
        <w:jc w:val="both"/>
      </w:pPr>
      <w:r w:rsidRPr="001349B7">
        <w:t>Zasebne naložbe, ki po vrednosti dosegajo javno podporo (od tega: nepovratna sredstva, finančni instrumenti) (</w:t>
      </w:r>
      <w:r>
        <w:t>manj</w:t>
      </w:r>
      <w:r w:rsidRPr="001349B7">
        <w:t xml:space="preserve"> razvite regije), kjer se ciljna vrednost zviša za </w:t>
      </w:r>
      <w:r>
        <w:t>830.000,00 EUR</w:t>
      </w:r>
      <w:r w:rsidRPr="001349B7">
        <w:t xml:space="preserve"> na novo ciljno vrednost </w:t>
      </w:r>
      <w:r>
        <w:t>6.270.000,00</w:t>
      </w:r>
      <w:r w:rsidRPr="001349B7">
        <w:t xml:space="preserve"> EUR.</w:t>
      </w:r>
    </w:p>
    <w:p w14:paraId="63836731" w14:textId="77777777" w:rsidR="00A81F01" w:rsidRDefault="00A81F01" w:rsidP="00966DFF">
      <w:pPr>
        <w:pStyle w:val="Brezrazmikov"/>
        <w:jc w:val="both"/>
      </w:pPr>
    </w:p>
    <w:p w14:paraId="58B59C8B" w14:textId="3499C464" w:rsidR="00A81F01" w:rsidRDefault="00A81F01" w:rsidP="00E46C20">
      <w:pPr>
        <w:pStyle w:val="Brezrazmikov"/>
        <w:numPr>
          <w:ilvl w:val="0"/>
          <w:numId w:val="53"/>
        </w:numPr>
        <w:jc w:val="both"/>
      </w:pPr>
      <w:r w:rsidRPr="000B3E1A">
        <w:rPr>
          <w:b/>
          <w:bCs/>
          <w:u w:val="single"/>
        </w:rPr>
        <w:t>Sprememba kazalnika rezultata RCR11</w:t>
      </w:r>
      <w:r>
        <w:t>:</w:t>
      </w:r>
    </w:p>
    <w:p w14:paraId="365AD860" w14:textId="77777777" w:rsidR="00E34B1A" w:rsidRDefault="00E34B1A" w:rsidP="00E34B1A">
      <w:pPr>
        <w:pStyle w:val="Brezrazmikov"/>
        <w:ind w:left="360"/>
        <w:jc w:val="both"/>
      </w:pPr>
    </w:p>
    <w:p w14:paraId="29565DCB" w14:textId="6AE094A8" w:rsidR="003747C8" w:rsidRDefault="003747C8" w:rsidP="000B3E1A">
      <w:pPr>
        <w:pStyle w:val="Brezrazmikov"/>
        <w:jc w:val="both"/>
      </w:pPr>
      <w:r w:rsidRPr="003747C8">
        <w:t>Uporabniki novih in nadgrajenih javnih digitalnih storitev, produktov in procesov</w:t>
      </w:r>
      <w:r>
        <w:t xml:space="preserve"> (bolj razvite regije), kjer se ciljna vrednost zniža za 35.511,00 na novo ciljno vrednost </w:t>
      </w:r>
      <w:r w:rsidRPr="003747C8">
        <w:t>779.257,00</w:t>
      </w:r>
      <w:r>
        <w:t>.</w:t>
      </w:r>
    </w:p>
    <w:p w14:paraId="47ED0868" w14:textId="77777777" w:rsidR="003747C8" w:rsidRDefault="003747C8" w:rsidP="000F4CBC">
      <w:pPr>
        <w:pStyle w:val="Brezrazmikov"/>
        <w:jc w:val="both"/>
      </w:pPr>
    </w:p>
    <w:p w14:paraId="4FE37618" w14:textId="1A57BADE" w:rsidR="003747C8" w:rsidRDefault="003747C8" w:rsidP="000F4CBC">
      <w:pPr>
        <w:pStyle w:val="Brezrazmikov"/>
        <w:jc w:val="both"/>
      </w:pPr>
      <w:r w:rsidRPr="003747C8">
        <w:t>Uporabniki novih in nadgrajenih javnih digitalnih storitev, produktov in procesov (</w:t>
      </w:r>
      <w:r>
        <w:t>manj</w:t>
      </w:r>
      <w:r w:rsidRPr="003747C8">
        <w:t xml:space="preserve"> razvite regije), kjer se ciljna vrednost zniža za </w:t>
      </w:r>
      <w:r>
        <w:t>23.195,00</w:t>
      </w:r>
      <w:r w:rsidRPr="003747C8">
        <w:t xml:space="preserve"> na novo ciljno vrednost</w:t>
      </w:r>
      <w:r>
        <w:t xml:space="preserve"> </w:t>
      </w:r>
      <w:r w:rsidRPr="003747C8">
        <w:t>591.463,00.</w:t>
      </w:r>
    </w:p>
    <w:p w14:paraId="455E1D63" w14:textId="77777777" w:rsidR="003747C8" w:rsidRDefault="003747C8" w:rsidP="000F4CBC">
      <w:pPr>
        <w:pStyle w:val="Brezrazmikov"/>
        <w:jc w:val="both"/>
      </w:pPr>
    </w:p>
    <w:p w14:paraId="704C60DE" w14:textId="3843C8BA" w:rsidR="00A81F01" w:rsidRDefault="003747C8" w:rsidP="000F4CBC">
      <w:pPr>
        <w:pStyle w:val="Brezrazmikov"/>
        <w:jc w:val="both"/>
      </w:pPr>
      <w:r w:rsidRPr="000B3E1A">
        <w:rPr>
          <w:u w:val="single"/>
        </w:rPr>
        <w:t>Obrazložitev</w:t>
      </w:r>
      <w:r w:rsidRPr="003747C8">
        <w:t>:</w:t>
      </w:r>
      <w:r w:rsidR="00380B14">
        <w:t xml:space="preserve"> </w:t>
      </w:r>
      <w:r w:rsidRPr="000B3E1A">
        <w:t>K</w:t>
      </w:r>
      <w:r w:rsidR="008F3668" w:rsidRPr="003747C8">
        <w:t xml:space="preserve">azalnik RCR11 </w:t>
      </w:r>
      <w:r w:rsidRPr="000B3E1A">
        <w:t xml:space="preserve">se zniža </w:t>
      </w:r>
      <w:r w:rsidR="008F3668" w:rsidRPr="003747C8">
        <w:t>v skupni višini 58.706 uporabnikov/leto</w:t>
      </w:r>
      <w:r w:rsidRPr="000B3E1A">
        <w:t xml:space="preserve"> zaradi prenosa na STEP</w:t>
      </w:r>
    </w:p>
    <w:p w14:paraId="2E3A40A0" w14:textId="77777777" w:rsidR="00966DFF" w:rsidRDefault="00966DFF" w:rsidP="004140A4">
      <w:pPr>
        <w:pStyle w:val="Brezrazmikov"/>
        <w:jc w:val="both"/>
      </w:pPr>
    </w:p>
    <w:p w14:paraId="27BE9D7C" w14:textId="62DBCEEF" w:rsidR="00A81F01" w:rsidRDefault="00A81F01" w:rsidP="000B3E1A">
      <w:pPr>
        <w:pStyle w:val="Naslov3"/>
        <w:numPr>
          <w:ilvl w:val="2"/>
          <w:numId w:val="2"/>
        </w:numPr>
        <w:spacing w:before="0"/>
        <w:rPr>
          <w:color w:val="4472C4" w:themeColor="accent1"/>
        </w:rPr>
      </w:pPr>
      <w:bookmarkStart w:id="69" w:name="_Toc191383859"/>
      <w:r>
        <w:rPr>
          <w:color w:val="4472C4" w:themeColor="accent1"/>
        </w:rPr>
        <w:t xml:space="preserve">RSO1.3 </w:t>
      </w:r>
      <w:r w:rsidRPr="00A81F01">
        <w:rPr>
          <w:color w:val="4472C4" w:themeColor="accent1"/>
        </w:rPr>
        <w:t>Krepitev trajnostne rasti in konkurenčnosti MSP ter ustvarjanje delovnih mest v MSP, med drugim s produktivnimi naložbami (ESRR)</w:t>
      </w:r>
      <w:bookmarkEnd w:id="69"/>
    </w:p>
    <w:p w14:paraId="57475A0B" w14:textId="77777777" w:rsidR="00A81F01" w:rsidRDefault="00A81F01" w:rsidP="00380B14">
      <w:pPr>
        <w:spacing w:after="0"/>
      </w:pPr>
    </w:p>
    <w:p w14:paraId="544D7EE2" w14:textId="6AB4F8DF" w:rsidR="00A81F01" w:rsidRDefault="00A81F01" w:rsidP="00E46C20">
      <w:pPr>
        <w:numPr>
          <w:ilvl w:val="0"/>
          <w:numId w:val="54"/>
        </w:numPr>
        <w:autoSpaceDE w:val="0"/>
        <w:autoSpaceDN w:val="0"/>
        <w:adjustRightInd w:val="0"/>
        <w:spacing w:after="0" w:line="240" w:lineRule="auto"/>
        <w:contextualSpacing/>
        <w:jc w:val="both"/>
      </w:pPr>
      <w:r w:rsidRPr="000B3E1A">
        <w:rPr>
          <w:b/>
          <w:bCs/>
          <w:u w:val="single"/>
        </w:rPr>
        <w:t>Sprememba opisa v okviru načrtovane uporabe finančnih instrumentov</w:t>
      </w:r>
      <w:r w:rsidRPr="00A81F01">
        <w:t>: prvi stavek prvega odstavka se v oklepaju dopolni z: »posodobljeno z market testi v juliju, avgustu in oktobru 2024«.</w:t>
      </w:r>
    </w:p>
    <w:p w14:paraId="3EF17B4B" w14:textId="77777777" w:rsidR="000F4CBC" w:rsidRDefault="000F4CBC" w:rsidP="000F4CBC">
      <w:pPr>
        <w:spacing w:after="0"/>
      </w:pPr>
    </w:p>
    <w:p w14:paraId="7F368588" w14:textId="07ACCC59" w:rsidR="0070652E" w:rsidRPr="0070652E" w:rsidRDefault="0070652E" w:rsidP="00380B14">
      <w:pPr>
        <w:spacing w:after="0"/>
      </w:pPr>
      <w:r w:rsidRPr="0070652E">
        <w:t>Obrazložitev: Gre za posodobitev verzije Predhodne ocene potreb trga in vrzeli financiranja na trgu za izvajanje finančnih instrumentov v programskem obdobju 2021</w:t>
      </w:r>
      <w:r w:rsidR="00811995" w:rsidRPr="00C13D02">
        <w:rPr>
          <w:rFonts w:cstheme="minorHAnsi"/>
          <w:kern w:val="0"/>
        </w:rPr>
        <w:t>–</w:t>
      </w:r>
      <w:r w:rsidRPr="0070652E">
        <w:t>2027 iz julija 2022.</w:t>
      </w:r>
    </w:p>
    <w:p w14:paraId="056C0423" w14:textId="77777777" w:rsidR="0070652E" w:rsidRPr="000B3E1A" w:rsidRDefault="0070652E" w:rsidP="00380B14">
      <w:pPr>
        <w:spacing w:after="0"/>
      </w:pPr>
    </w:p>
    <w:p w14:paraId="3B4B175E" w14:textId="42793AA8" w:rsidR="0006164B" w:rsidRDefault="0006164B" w:rsidP="00E46C20">
      <w:pPr>
        <w:pStyle w:val="Odstavekseznama"/>
        <w:numPr>
          <w:ilvl w:val="0"/>
          <w:numId w:val="54"/>
        </w:numPr>
        <w:spacing w:after="0"/>
      </w:pPr>
      <w:r w:rsidRPr="00E46C20">
        <w:rPr>
          <w:b/>
          <w:bCs/>
          <w:u w:val="single"/>
        </w:rPr>
        <w:t xml:space="preserve">Sprememba kazalnikov učinka RCO01, </w:t>
      </w:r>
      <w:r w:rsidR="003B0606" w:rsidRPr="00E46C20">
        <w:rPr>
          <w:b/>
          <w:bCs/>
          <w:u w:val="single"/>
        </w:rPr>
        <w:t xml:space="preserve">RCO02, </w:t>
      </w:r>
      <w:r w:rsidRPr="00E46C20">
        <w:rPr>
          <w:b/>
          <w:bCs/>
          <w:u w:val="single"/>
        </w:rPr>
        <w:t>RCO03</w:t>
      </w:r>
      <w:r w:rsidR="004F4AEF" w:rsidRPr="00E46C20">
        <w:rPr>
          <w:b/>
          <w:bCs/>
          <w:u w:val="single"/>
        </w:rPr>
        <w:t>,</w:t>
      </w:r>
      <w:r w:rsidRPr="00E46C20">
        <w:rPr>
          <w:b/>
          <w:bCs/>
          <w:u w:val="single"/>
        </w:rPr>
        <w:t xml:space="preserve"> RCO103</w:t>
      </w:r>
      <w:r w:rsidR="004F4AEF" w:rsidRPr="00E46C20">
        <w:rPr>
          <w:b/>
          <w:bCs/>
          <w:u w:val="single"/>
        </w:rPr>
        <w:t xml:space="preserve"> in 1</w:t>
      </w:r>
      <w:r>
        <w:t>:</w:t>
      </w:r>
    </w:p>
    <w:p w14:paraId="24EE2601" w14:textId="77777777" w:rsidR="000F4CBC" w:rsidRDefault="000F4CBC" w:rsidP="00B63B78">
      <w:pPr>
        <w:spacing w:after="0"/>
        <w:jc w:val="both"/>
      </w:pPr>
    </w:p>
    <w:p w14:paraId="48C0A37D" w14:textId="02482633" w:rsidR="003B0606" w:rsidRDefault="003B0606" w:rsidP="00B63B78">
      <w:pPr>
        <w:spacing w:after="0"/>
        <w:jc w:val="both"/>
      </w:pPr>
      <w:r>
        <w:t xml:space="preserve">Podjetja, ki so prejela podporo (od tega: </w:t>
      </w:r>
      <w:proofErr w:type="spellStart"/>
      <w:r>
        <w:t>mikro</w:t>
      </w:r>
      <w:proofErr w:type="spellEnd"/>
      <w:r>
        <w:t>, mala, srednja, velika) (bolj razvite regije), kjer se ciljna vrednost zmanjša za 21 na novo ciljno vrednost 3670.</w:t>
      </w:r>
    </w:p>
    <w:p w14:paraId="536F98C7" w14:textId="77777777" w:rsidR="00380B14" w:rsidRDefault="00380B14" w:rsidP="00380B14">
      <w:pPr>
        <w:spacing w:after="0"/>
      </w:pPr>
    </w:p>
    <w:p w14:paraId="16A42BA3" w14:textId="2C78E1D4" w:rsidR="003B0606" w:rsidRDefault="003B0606" w:rsidP="00B63B78">
      <w:pPr>
        <w:spacing w:after="0"/>
        <w:jc w:val="both"/>
      </w:pPr>
      <w:r>
        <w:t xml:space="preserve">Podjetja, ki so prejela podporo (od tega: </w:t>
      </w:r>
      <w:proofErr w:type="spellStart"/>
      <w:r>
        <w:t>mikro</w:t>
      </w:r>
      <w:proofErr w:type="spellEnd"/>
      <w:r>
        <w:t>, mala, srednja, velika) (manj razvite regije), kjer se ciljna vrednost zmanjša za 143 na novo ciljno vrednost 4.950.</w:t>
      </w:r>
    </w:p>
    <w:p w14:paraId="55B324CC" w14:textId="77777777" w:rsidR="00380B14" w:rsidRDefault="00380B14" w:rsidP="00380B14">
      <w:pPr>
        <w:spacing w:after="0"/>
      </w:pPr>
    </w:p>
    <w:p w14:paraId="0E2E19CA" w14:textId="6E3C3F39" w:rsidR="003B0606" w:rsidRDefault="003B0606" w:rsidP="00380B14">
      <w:pPr>
        <w:spacing w:after="0"/>
      </w:pPr>
      <w:bookmarkStart w:id="70" w:name="_Hlk188505530"/>
      <w:r w:rsidRPr="003B0606">
        <w:t>Podjetja, ki so prejela podporo v obliki nepovratnih sredstev</w:t>
      </w:r>
      <w:r>
        <w:t xml:space="preserve"> (bolj</w:t>
      </w:r>
      <w:r w:rsidR="00C53418">
        <w:t xml:space="preserve"> razvite regije), kjer se mejnik zniža na vrednost 0.</w:t>
      </w:r>
    </w:p>
    <w:p w14:paraId="26827F68" w14:textId="77777777" w:rsidR="00380B14" w:rsidRDefault="00380B14" w:rsidP="00380B14">
      <w:pPr>
        <w:spacing w:after="0"/>
      </w:pPr>
    </w:p>
    <w:bookmarkEnd w:id="70"/>
    <w:p w14:paraId="3A6736D5" w14:textId="58D1D287" w:rsidR="00C53418" w:rsidRDefault="00C53418" w:rsidP="00380B14">
      <w:pPr>
        <w:spacing w:after="0"/>
      </w:pPr>
      <w:r w:rsidRPr="00C53418">
        <w:t>Podjetja, ki so prejela podporo v obliki nepovratnih sredstev (</w:t>
      </w:r>
      <w:r>
        <w:t>manj</w:t>
      </w:r>
      <w:r w:rsidRPr="00C53418">
        <w:t xml:space="preserve"> razvite regije), kjer se mejnik zniža na vrednost 0.</w:t>
      </w:r>
    </w:p>
    <w:p w14:paraId="03281A39" w14:textId="77777777" w:rsidR="00380B14" w:rsidRDefault="00380B14" w:rsidP="00380B14">
      <w:pPr>
        <w:spacing w:after="0"/>
      </w:pPr>
    </w:p>
    <w:p w14:paraId="7D6014C1" w14:textId="7B4B8E97" w:rsidR="003B0606" w:rsidRDefault="003B0606" w:rsidP="00380B14">
      <w:pPr>
        <w:spacing w:after="0"/>
      </w:pPr>
      <w:r>
        <w:t>Podjetja, ki so prejela podporo v obliki finančnih instrumentov (bolj razvite regije), kjer se ciljna vrednost zmanjša za 24 na novo ciljno vrednost 169.</w:t>
      </w:r>
    </w:p>
    <w:p w14:paraId="505F57AD" w14:textId="77777777" w:rsidR="00380B14" w:rsidRDefault="00380B14" w:rsidP="00380B14">
      <w:pPr>
        <w:spacing w:after="0"/>
      </w:pPr>
    </w:p>
    <w:p w14:paraId="5CEC282A" w14:textId="1F0AA5CB" w:rsidR="003B0606" w:rsidRDefault="003B0606" w:rsidP="00B63B78">
      <w:pPr>
        <w:spacing w:after="0"/>
        <w:jc w:val="both"/>
      </w:pPr>
      <w:r>
        <w:t>Podjetja, ki so prejela podporo v obliki finančnih instrumentov (manj razvite regije), kjer se ciljna vrednost zmanjša za 166 na novo ciljno vrednost 131.</w:t>
      </w:r>
    </w:p>
    <w:p w14:paraId="3219FDD1" w14:textId="77777777" w:rsidR="00380B14" w:rsidRDefault="00380B14" w:rsidP="00380B14">
      <w:pPr>
        <w:spacing w:after="0"/>
      </w:pPr>
    </w:p>
    <w:p w14:paraId="654FB75A" w14:textId="3E2DD692" w:rsidR="004F4AEF" w:rsidRDefault="004F4AEF" w:rsidP="00380B14">
      <w:pPr>
        <w:spacing w:after="0"/>
      </w:pPr>
      <w:r w:rsidRPr="004F4AEF">
        <w:t>Projekti turističnih destinacij</w:t>
      </w:r>
      <w:r>
        <w:t xml:space="preserve"> (manj razvite regije), kjer se mejnik zniža na vrednost 0. </w:t>
      </w:r>
    </w:p>
    <w:p w14:paraId="2F011FD3" w14:textId="77777777" w:rsidR="00380B14" w:rsidRDefault="00380B14" w:rsidP="00380B14">
      <w:pPr>
        <w:spacing w:after="0"/>
      </w:pPr>
    </w:p>
    <w:p w14:paraId="423B440C" w14:textId="672F5D0D" w:rsidR="0006164B" w:rsidRDefault="00C53418" w:rsidP="00B63B78">
      <w:pPr>
        <w:spacing w:after="0"/>
        <w:jc w:val="both"/>
      </w:pPr>
      <w:r w:rsidRPr="000B3E1A">
        <w:rPr>
          <w:u w:val="single"/>
        </w:rPr>
        <w:t>Obrazložitev</w:t>
      </w:r>
      <w:r>
        <w:t xml:space="preserve">: </w:t>
      </w:r>
      <w:r w:rsidR="004F4AEF">
        <w:t xml:space="preserve">Kazalnik </w:t>
      </w:r>
      <w:r w:rsidR="00210EDE">
        <w:t>RCO103</w:t>
      </w:r>
      <w:r w:rsidR="004F4AEF">
        <w:t xml:space="preserve"> se ukine, ker finančni instrumenti za start-up niso več predvideni. Mejnik kazalnika 1 </w:t>
      </w:r>
      <w:r w:rsidR="00210EDE">
        <w:t xml:space="preserve">(Projekti turističnih destinacij) </w:t>
      </w:r>
      <w:r w:rsidR="004F4AEF">
        <w:t xml:space="preserve">se zniža, ker bo ukrep izveden v letu 2025. </w:t>
      </w:r>
    </w:p>
    <w:p w14:paraId="39CB15AD" w14:textId="1C47751E" w:rsidR="0070652E" w:rsidRDefault="0070652E" w:rsidP="00E46C20">
      <w:pPr>
        <w:pStyle w:val="Odstavekseznama"/>
        <w:numPr>
          <w:ilvl w:val="0"/>
          <w:numId w:val="54"/>
        </w:numPr>
        <w:spacing w:after="0"/>
      </w:pPr>
      <w:r w:rsidRPr="00E46C20">
        <w:rPr>
          <w:b/>
          <w:bCs/>
          <w:u w:val="single"/>
        </w:rPr>
        <w:lastRenderedPageBreak/>
        <w:t>Sprememba kazalnikov rezultata RCR</w:t>
      </w:r>
      <w:r w:rsidR="005B1C43" w:rsidRPr="00E46C20">
        <w:rPr>
          <w:b/>
          <w:bCs/>
          <w:u w:val="single"/>
        </w:rPr>
        <w:t>02, RCR19, RCR25</w:t>
      </w:r>
      <w:r w:rsidR="005B1C43">
        <w:t xml:space="preserve">: </w:t>
      </w:r>
    </w:p>
    <w:p w14:paraId="1CC1A1E1" w14:textId="77777777" w:rsidR="00B63B78" w:rsidRDefault="00B63B78" w:rsidP="000F4CBC">
      <w:pPr>
        <w:spacing w:after="0"/>
      </w:pPr>
    </w:p>
    <w:p w14:paraId="2933C74C" w14:textId="04AB4301" w:rsidR="005B1C43" w:rsidRDefault="005B1C43" w:rsidP="00B63B78">
      <w:pPr>
        <w:spacing w:after="0"/>
        <w:jc w:val="both"/>
      </w:pPr>
      <w:r w:rsidRPr="005B1C43">
        <w:t>Zasebne naložbe, ki po vrednosti dosegajo javno podporo (od tega: nepovratna sredstva, finančni instrumenti)</w:t>
      </w:r>
      <w:r>
        <w:t xml:space="preserve"> (bolj razvite regije), kjer se ciljna vrednost </w:t>
      </w:r>
      <w:r w:rsidR="0002791C">
        <w:t>zviša za 13.146.000,00 EUR na novo ciljno vrednost 114.500.000,00 EUR.</w:t>
      </w:r>
    </w:p>
    <w:p w14:paraId="0BD38184" w14:textId="77777777" w:rsidR="00B63B78" w:rsidRDefault="00B63B78" w:rsidP="00B63B78">
      <w:pPr>
        <w:spacing w:after="0"/>
      </w:pPr>
    </w:p>
    <w:p w14:paraId="6A2F13D2" w14:textId="61B2D66C" w:rsidR="0002791C" w:rsidRDefault="0002791C" w:rsidP="00B63B78">
      <w:pPr>
        <w:spacing w:after="0"/>
        <w:jc w:val="both"/>
      </w:pPr>
      <w:r w:rsidRPr="0002791C">
        <w:t>Zasebne naložbe, ki po vrednosti dosegajo javno podporo (od tega: nepovratna sredstva, finančni instrumenti) (</w:t>
      </w:r>
      <w:r>
        <w:t>manj</w:t>
      </w:r>
      <w:r w:rsidRPr="0002791C">
        <w:t xml:space="preserve"> razvite regije), kjer se ciljna vrednost </w:t>
      </w:r>
      <w:proofErr w:type="spellStart"/>
      <w:r w:rsidRPr="0002791C">
        <w:t>z</w:t>
      </w:r>
      <w:r w:rsidR="008378FA">
        <w:t>n</w:t>
      </w:r>
      <w:r w:rsidRPr="0002791C">
        <w:t>i</w:t>
      </w:r>
      <w:r w:rsidR="00AE452A">
        <w:t>ža</w:t>
      </w:r>
      <w:r w:rsidRPr="0002791C">
        <w:t>ša</w:t>
      </w:r>
      <w:proofErr w:type="spellEnd"/>
      <w:r w:rsidRPr="0002791C">
        <w:t xml:space="preserve"> za </w:t>
      </w:r>
      <w:r>
        <w:t>62.896.000,00 EUR</w:t>
      </w:r>
      <w:r w:rsidRPr="0002791C">
        <w:t xml:space="preserve"> na novo ciljno vrednost </w:t>
      </w:r>
      <w:r w:rsidR="008378FA">
        <w:t xml:space="preserve">92.350.000 </w:t>
      </w:r>
      <w:r>
        <w:t>EUR</w:t>
      </w:r>
      <w:r w:rsidRPr="0002791C">
        <w:t>.</w:t>
      </w:r>
    </w:p>
    <w:p w14:paraId="3B26F633" w14:textId="77777777" w:rsidR="00B63B78" w:rsidRDefault="00B63B78" w:rsidP="00B63B78">
      <w:pPr>
        <w:spacing w:after="0"/>
        <w:jc w:val="both"/>
      </w:pPr>
    </w:p>
    <w:p w14:paraId="5522FAE1" w14:textId="217C5FDE" w:rsidR="0002791C" w:rsidRDefault="005F7076" w:rsidP="00B63B78">
      <w:pPr>
        <w:spacing w:after="0"/>
      </w:pPr>
      <w:r w:rsidRPr="005F7076">
        <w:t>Podjetja z večjim prometom</w:t>
      </w:r>
      <w:r>
        <w:t xml:space="preserve"> (bolj razvite regije), kjer se ciljna vrednost zviša za 62 na novo ciljno vrednost 202. </w:t>
      </w:r>
    </w:p>
    <w:p w14:paraId="44F8DE51" w14:textId="77777777" w:rsidR="00B63B78" w:rsidRDefault="00B63B78" w:rsidP="00B63B78">
      <w:pPr>
        <w:spacing w:after="0"/>
      </w:pPr>
    </w:p>
    <w:p w14:paraId="58343D23" w14:textId="51703B6D" w:rsidR="005F7076" w:rsidRDefault="005F7076" w:rsidP="00B63B78">
      <w:pPr>
        <w:spacing w:after="0"/>
      </w:pPr>
      <w:r w:rsidRPr="005F7076">
        <w:t>Podjetja z večjim prometom (</w:t>
      </w:r>
      <w:r>
        <w:t>manj</w:t>
      </w:r>
      <w:r w:rsidRPr="005F7076">
        <w:t xml:space="preserve"> razvite regije), kjer se ciljna vrednost zviša za </w:t>
      </w:r>
      <w:r w:rsidR="0081063D">
        <w:t>140</w:t>
      </w:r>
      <w:r w:rsidRPr="005F7076">
        <w:t xml:space="preserve"> na novo ciljno vrednost </w:t>
      </w:r>
      <w:r w:rsidR="0081063D">
        <w:t>371</w:t>
      </w:r>
      <w:r w:rsidRPr="005F7076">
        <w:t>.</w:t>
      </w:r>
    </w:p>
    <w:p w14:paraId="39715907" w14:textId="77777777" w:rsidR="00B63B78" w:rsidRDefault="00B63B78" w:rsidP="00B63B78">
      <w:pPr>
        <w:spacing w:after="0"/>
      </w:pPr>
    </w:p>
    <w:p w14:paraId="4EB9AC71" w14:textId="3694ED00" w:rsidR="00B63427" w:rsidRDefault="00B63427" w:rsidP="00B63B78">
      <w:pPr>
        <w:spacing w:after="0"/>
      </w:pPr>
      <w:r w:rsidRPr="00B63427">
        <w:t>MSP z večjo dodano vrednostjo na zaposlenega</w:t>
      </w:r>
      <w:r>
        <w:t xml:space="preserve"> (bolj razvite regije), kjer se ciljna vrednost zniža za 8 na novo ciljno vrednost 63.</w:t>
      </w:r>
    </w:p>
    <w:p w14:paraId="40ED5098" w14:textId="77777777" w:rsidR="00B63B78" w:rsidRDefault="00B63B78" w:rsidP="00B63B78">
      <w:pPr>
        <w:spacing w:after="0"/>
      </w:pPr>
    </w:p>
    <w:p w14:paraId="7CEC74EE" w14:textId="704F8E32" w:rsidR="004C33CF" w:rsidRDefault="00B63427" w:rsidP="005B1C43">
      <w:r w:rsidRPr="00B63427">
        <w:t xml:space="preserve">MSP z večjo dodano vrednostjo na zaposlenega (bolj razvite regije), kjer se ciljna vrednost zniža za </w:t>
      </w:r>
      <w:r>
        <w:t>7</w:t>
      </w:r>
      <w:r w:rsidRPr="00B63427">
        <w:t xml:space="preserve"> na novo ciljno vrednost 6</w:t>
      </w:r>
      <w:r>
        <w:t>8</w:t>
      </w:r>
      <w:r w:rsidRPr="00B63427">
        <w:t>.</w:t>
      </w:r>
    </w:p>
    <w:p w14:paraId="710DCED8" w14:textId="7AD5944D" w:rsidR="004C33CF" w:rsidRDefault="004C33CF" w:rsidP="00A4796C">
      <w:pPr>
        <w:pStyle w:val="Odstavekseznama"/>
        <w:numPr>
          <w:ilvl w:val="0"/>
          <w:numId w:val="54"/>
        </w:numPr>
        <w:spacing w:after="0"/>
      </w:pPr>
      <w:r w:rsidRPr="00A4796C">
        <w:rPr>
          <w:b/>
          <w:bCs/>
          <w:u w:val="single"/>
        </w:rPr>
        <w:t>Sprememba Razsežnosti 1 – področje ukrepanja</w:t>
      </w:r>
      <w:r>
        <w:t>:</w:t>
      </w:r>
    </w:p>
    <w:p w14:paraId="27BBF3B9" w14:textId="77777777" w:rsidR="00B63B78" w:rsidRDefault="00B63B78" w:rsidP="00B63B78">
      <w:pPr>
        <w:spacing w:after="0"/>
        <w:ind w:left="360"/>
      </w:pPr>
    </w:p>
    <w:p w14:paraId="4BB24B53" w14:textId="77777777" w:rsidR="004C33CF" w:rsidRDefault="004C33CF" w:rsidP="000F4CBC">
      <w:pPr>
        <w:spacing w:after="0"/>
        <w:jc w:val="both"/>
      </w:pPr>
      <w:r w:rsidRPr="004C33CF">
        <w:t>013. Digitalizacija MSP (vključno z e-trgovanjem, e-poslovanjem in v omrežje povezanimi poslovnimi procesi, vozlišči za digitalne inovacije, živimi laboratoriji, spletnimi podjetji ter zagonskimi podjetji na področju IKT, B2B)</w:t>
      </w:r>
      <w:r>
        <w:t xml:space="preserve"> (bolj razvite regije: znesek se zniža na 1.133.333,00 EUR.</w:t>
      </w:r>
    </w:p>
    <w:p w14:paraId="56DFD3B2" w14:textId="77777777" w:rsidR="00B63B78" w:rsidRDefault="00B63B78" w:rsidP="00B63B78">
      <w:pPr>
        <w:spacing w:after="0"/>
        <w:ind w:left="360"/>
        <w:jc w:val="both"/>
      </w:pPr>
    </w:p>
    <w:p w14:paraId="19E89818" w14:textId="35C50E54" w:rsidR="004C33CF" w:rsidRDefault="004C33CF" w:rsidP="000F4CBC">
      <w:pPr>
        <w:spacing w:after="0"/>
        <w:jc w:val="both"/>
      </w:pPr>
      <w:r w:rsidRPr="004C33CF">
        <w:t>013. Digitalizacija MSP (vključno z e-trgovanjem, e-poslovanjem in v omrežje povezanimi poslovnimi procesi, vozlišči za digitalne inovacije, živimi laboratoriji, spletnimi podjetji ter zagonskimi podjetji na področju IKT, B2B) (</w:t>
      </w:r>
      <w:r>
        <w:t>manj</w:t>
      </w:r>
      <w:r w:rsidRPr="004C33CF">
        <w:t xml:space="preserve"> razvite regije: znesek se z</w:t>
      </w:r>
      <w:r>
        <w:t>viša</w:t>
      </w:r>
      <w:r w:rsidRPr="004C33CF">
        <w:t xml:space="preserve"> na 3.375.096 EUR.</w:t>
      </w:r>
    </w:p>
    <w:p w14:paraId="2DB137BE" w14:textId="77777777" w:rsidR="00B63B78" w:rsidRDefault="00B63B78" w:rsidP="00B63B78">
      <w:pPr>
        <w:spacing w:after="0"/>
        <w:ind w:left="360"/>
        <w:jc w:val="both"/>
      </w:pPr>
    </w:p>
    <w:p w14:paraId="195BF819" w14:textId="1738F480" w:rsidR="004C33CF" w:rsidRDefault="004C33CF" w:rsidP="000F4CBC">
      <w:pPr>
        <w:spacing w:after="0"/>
        <w:jc w:val="both"/>
      </w:pPr>
      <w:r w:rsidRPr="004C33CF">
        <w:t>021. Poslovni razvoj in internacionalizacija MSP, vključno s produktivnimi naložbami</w:t>
      </w:r>
      <w:r>
        <w:t xml:space="preserve"> (bolj razvite regije)</w:t>
      </w:r>
      <w:r w:rsidR="00D551CE">
        <w:t xml:space="preserve">: znesek se zviša na </w:t>
      </w:r>
      <w:r w:rsidR="00D551CE" w:rsidRPr="00D551CE">
        <w:t>51.285.529</w:t>
      </w:r>
      <w:r w:rsidR="00D551CE">
        <w:t>,00 EUR.</w:t>
      </w:r>
    </w:p>
    <w:p w14:paraId="484BD24F" w14:textId="77777777" w:rsidR="00B63B78" w:rsidRDefault="00B63B78" w:rsidP="00B63B78">
      <w:pPr>
        <w:spacing w:after="0"/>
        <w:ind w:left="360"/>
        <w:jc w:val="both"/>
      </w:pPr>
    </w:p>
    <w:p w14:paraId="4C0FDED9" w14:textId="203D1889" w:rsidR="00D551CE" w:rsidRDefault="00D551CE" w:rsidP="000F4CBC">
      <w:pPr>
        <w:spacing w:after="0"/>
        <w:jc w:val="both"/>
      </w:pPr>
      <w:r w:rsidRPr="00D551CE">
        <w:t>021. Poslovni razvoj in internacionalizacija MSP, vključno s produktivnimi naložbami (</w:t>
      </w:r>
      <w:r w:rsidR="003C60A4">
        <w:t>manj</w:t>
      </w:r>
      <w:r w:rsidRPr="00D551CE">
        <w:t xml:space="preserve"> razvite regije): znesek se zviša na</w:t>
      </w:r>
      <w:r w:rsidR="008378FA">
        <w:t xml:space="preserve"> </w:t>
      </w:r>
      <w:r w:rsidRPr="00D551CE">
        <w:t>81.251.469</w:t>
      </w:r>
      <w:r>
        <w:t>,00</w:t>
      </w:r>
      <w:r w:rsidRPr="00D551CE">
        <w:t xml:space="preserve"> EUR.</w:t>
      </w:r>
    </w:p>
    <w:p w14:paraId="62C03655" w14:textId="77777777" w:rsidR="00B63B78" w:rsidRDefault="00B63B78" w:rsidP="00B63B78">
      <w:pPr>
        <w:spacing w:after="0"/>
        <w:ind w:left="360"/>
        <w:jc w:val="both"/>
      </w:pPr>
    </w:p>
    <w:p w14:paraId="638BEB82" w14:textId="34105DA8" w:rsidR="00D551CE" w:rsidRDefault="003C60A4" w:rsidP="000F4CBC">
      <w:pPr>
        <w:spacing w:after="0"/>
        <w:jc w:val="both"/>
      </w:pPr>
      <w:r w:rsidRPr="003C60A4">
        <w:t>024. Napredne pomožne storitve za MSP in skupine MSP (vključno z upravljavskimi, trženjskimi in oblikovalskimi storitvami)</w:t>
      </w:r>
      <w:r>
        <w:t xml:space="preserve"> (bolj razvite regije): znesek se zniža na </w:t>
      </w:r>
      <w:r w:rsidRPr="003C60A4">
        <w:t>8.680.873</w:t>
      </w:r>
      <w:r>
        <w:t>,00 EUR.</w:t>
      </w:r>
    </w:p>
    <w:p w14:paraId="1A6E50DE" w14:textId="77777777" w:rsidR="00B63B78" w:rsidRDefault="00B63B78" w:rsidP="00B63B78">
      <w:pPr>
        <w:spacing w:after="0"/>
        <w:ind w:left="360"/>
        <w:jc w:val="both"/>
      </w:pPr>
    </w:p>
    <w:p w14:paraId="35CA536D" w14:textId="5F21791A" w:rsidR="003C60A4" w:rsidRDefault="003C60A4" w:rsidP="000F4CBC">
      <w:pPr>
        <w:spacing w:after="0"/>
        <w:jc w:val="both"/>
      </w:pPr>
      <w:r w:rsidRPr="003C60A4">
        <w:t>024. Napredne pomožne storitve za MSP in skupine MSP (vključno z upravljavskimi, trženjskimi in oblikovalskimi storitvami) (</w:t>
      </w:r>
      <w:r>
        <w:t>manj</w:t>
      </w:r>
      <w:r w:rsidRPr="003C60A4">
        <w:t xml:space="preserve"> razvite regije): znesek se zniža na 21.152.722</w:t>
      </w:r>
      <w:r>
        <w:t>,00</w:t>
      </w:r>
      <w:r w:rsidRPr="003C60A4">
        <w:t xml:space="preserve"> EUR.</w:t>
      </w:r>
    </w:p>
    <w:p w14:paraId="5E24D53C" w14:textId="77777777" w:rsidR="00B63B78" w:rsidRDefault="00B63B78" w:rsidP="00B63B78">
      <w:pPr>
        <w:spacing w:after="0"/>
        <w:ind w:left="360"/>
        <w:jc w:val="both"/>
      </w:pPr>
    </w:p>
    <w:p w14:paraId="28366988" w14:textId="0B4457B4" w:rsidR="003C60A4" w:rsidRDefault="003C60A4" w:rsidP="000F4CBC">
      <w:pPr>
        <w:spacing w:after="0"/>
        <w:jc w:val="both"/>
      </w:pPr>
      <w:r w:rsidRPr="003C60A4">
        <w:t xml:space="preserve">025. Inkubacija, podpora „spin </w:t>
      </w:r>
      <w:proofErr w:type="spellStart"/>
      <w:r w:rsidRPr="003C60A4">
        <w:t>off</w:t>
      </w:r>
      <w:proofErr w:type="spellEnd"/>
      <w:r w:rsidRPr="003C60A4">
        <w:t>“ in „spin out“ podjetjem ter zagonskim podjetjem</w:t>
      </w:r>
      <w:r>
        <w:t xml:space="preserve"> (bolj razvite regije): znesek se zniža na </w:t>
      </w:r>
      <w:r w:rsidRPr="003C60A4">
        <w:t>5.044.134</w:t>
      </w:r>
      <w:r>
        <w:t>,00 EUR.</w:t>
      </w:r>
    </w:p>
    <w:p w14:paraId="3D53C914" w14:textId="77777777" w:rsidR="00B63B78" w:rsidRDefault="00B63B78" w:rsidP="00B63B78">
      <w:pPr>
        <w:spacing w:after="0"/>
        <w:ind w:left="360"/>
        <w:jc w:val="both"/>
      </w:pPr>
    </w:p>
    <w:p w14:paraId="62297BBB" w14:textId="16A92745" w:rsidR="003C60A4" w:rsidRDefault="003C60A4" w:rsidP="000F4CBC">
      <w:pPr>
        <w:spacing w:after="0"/>
        <w:jc w:val="both"/>
      </w:pPr>
      <w:r w:rsidRPr="003C60A4">
        <w:t xml:space="preserve">025. Inkubacija, podpora „spin </w:t>
      </w:r>
      <w:proofErr w:type="spellStart"/>
      <w:r w:rsidRPr="003C60A4">
        <w:t>off</w:t>
      </w:r>
      <w:proofErr w:type="spellEnd"/>
      <w:r w:rsidRPr="003C60A4">
        <w:t>“ in „spin out“ podjetjem ter zagonskim podjetjem (</w:t>
      </w:r>
      <w:r>
        <w:t>manj</w:t>
      </w:r>
      <w:r w:rsidRPr="003C60A4">
        <w:t xml:space="preserve"> razvite regije): znesek se zniža na 14.330.869</w:t>
      </w:r>
      <w:r>
        <w:t>,00</w:t>
      </w:r>
      <w:r w:rsidRPr="003C60A4">
        <w:t xml:space="preserve"> EUR.</w:t>
      </w:r>
    </w:p>
    <w:p w14:paraId="601CF62F" w14:textId="77777777" w:rsidR="000F4CBC" w:rsidRDefault="000F4CBC" w:rsidP="000F4CBC">
      <w:pPr>
        <w:spacing w:after="0"/>
        <w:jc w:val="both"/>
      </w:pPr>
    </w:p>
    <w:p w14:paraId="796A88F0" w14:textId="63C38D9F" w:rsidR="007D1643" w:rsidRDefault="008D4A97" w:rsidP="000F4CBC">
      <w:pPr>
        <w:spacing w:after="0"/>
        <w:jc w:val="both"/>
      </w:pPr>
      <w:r>
        <w:t xml:space="preserve">Skupen znesek se zviša na </w:t>
      </w:r>
      <w:r w:rsidRPr="008D4A97">
        <w:t>199.184.025</w:t>
      </w:r>
      <w:r>
        <w:t>,00 EUR.</w:t>
      </w:r>
    </w:p>
    <w:p w14:paraId="368051CC" w14:textId="77777777" w:rsidR="007D1643" w:rsidRDefault="007D1643" w:rsidP="00B63B78">
      <w:pPr>
        <w:spacing w:after="0"/>
        <w:ind w:left="360"/>
        <w:jc w:val="both"/>
      </w:pPr>
    </w:p>
    <w:p w14:paraId="52B407A3" w14:textId="3DC4B1AE" w:rsidR="008D4A97" w:rsidRDefault="008D4A97" w:rsidP="00E46C20">
      <w:pPr>
        <w:pStyle w:val="Brezrazmikov"/>
        <w:numPr>
          <w:ilvl w:val="0"/>
          <w:numId w:val="54"/>
        </w:numPr>
        <w:rPr>
          <w:b/>
          <w:bCs/>
        </w:rPr>
      </w:pPr>
      <w:r w:rsidRPr="00A4796C">
        <w:rPr>
          <w:b/>
          <w:bCs/>
          <w:u w:val="single"/>
        </w:rPr>
        <w:t>Sprememba Razsežnosti 2 – oblika financiranja</w:t>
      </w:r>
      <w:r w:rsidRPr="00986929">
        <w:rPr>
          <w:b/>
          <w:bCs/>
        </w:rPr>
        <w:t>:</w:t>
      </w:r>
    </w:p>
    <w:p w14:paraId="78B11D79" w14:textId="77777777" w:rsidR="00986929" w:rsidRPr="00986929" w:rsidRDefault="00986929" w:rsidP="00860FCE">
      <w:pPr>
        <w:pStyle w:val="Brezrazmikov"/>
        <w:rPr>
          <w:b/>
          <w:bCs/>
        </w:rPr>
      </w:pPr>
    </w:p>
    <w:p w14:paraId="176AFA71" w14:textId="2F1F35AB" w:rsidR="008D4A97" w:rsidRDefault="008D4A97" w:rsidP="00860FCE">
      <w:pPr>
        <w:spacing w:after="0"/>
      </w:pPr>
      <w:bookmarkStart w:id="71" w:name="_Hlk188509632"/>
      <w:r w:rsidRPr="008D4A97">
        <w:t>01. Nepovratna sredstva</w:t>
      </w:r>
      <w:r>
        <w:t xml:space="preserve"> (bolj razvite regije): znesek se zniža na </w:t>
      </w:r>
      <w:r w:rsidRPr="008D4A97">
        <w:t>36.616.832</w:t>
      </w:r>
      <w:r>
        <w:t>,00 EUR.</w:t>
      </w:r>
    </w:p>
    <w:p w14:paraId="72774314" w14:textId="77777777" w:rsidR="00860FCE" w:rsidRDefault="00860FCE" w:rsidP="00860FCE">
      <w:pPr>
        <w:spacing w:after="0"/>
      </w:pPr>
    </w:p>
    <w:bookmarkEnd w:id="71"/>
    <w:p w14:paraId="6C8115EF" w14:textId="56F79C48" w:rsidR="008D4A97" w:rsidRDefault="008D4A97" w:rsidP="00860FCE">
      <w:pPr>
        <w:spacing w:after="0"/>
      </w:pPr>
      <w:r w:rsidRPr="008D4A97">
        <w:t>01. Nepovratna sredstva (</w:t>
      </w:r>
      <w:r>
        <w:t>manj</w:t>
      </w:r>
      <w:r w:rsidRPr="008D4A97">
        <w:t xml:space="preserve"> razvite regije): znesek se zniža na 77.567.193</w:t>
      </w:r>
      <w:r>
        <w:t>,00</w:t>
      </w:r>
      <w:r w:rsidRPr="008D4A97">
        <w:t xml:space="preserve"> EUR.</w:t>
      </w:r>
    </w:p>
    <w:p w14:paraId="0B3E395A" w14:textId="682F19B0" w:rsidR="008D4A97" w:rsidRDefault="00054E9B" w:rsidP="00F67098">
      <w:pPr>
        <w:spacing w:after="0"/>
        <w:jc w:val="both"/>
      </w:pPr>
      <w:r w:rsidRPr="00054E9B">
        <w:lastRenderedPageBreak/>
        <w:t>02. Podpora prek finančnih instrumentov: lastniški kapital ali navidezni lastniški kapital</w:t>
      </w:r>
      <w:r>
        <w:t xml:space="preserve"> (bolj razvite regije): znesek se zniža na 0,00 EUR.</w:t>
      </w:r>
    </w:p>
    <w:p w14:paraId="554ED524" w14:textId="77777777" w:rsidR="00860FCE" w:rsidRDefault="00860FCE" w:rsidP="00860FCE">
      <w:pPr>
        <w:spacing w:after="0"/>
      </w:pPr>
    </w:p>
    <w:p w14:paraId="4BC15D9E" w14:textId="0274C8FA" w:rsidR="00054E9B" w:rsidRDefault="00054E9B" w:rsidP="00F67098">
      <w:pPr>
        <w:spacing w:after="0"/>
        <w:jc w:val="both"/>
      </w:pPr>
      <w:r w:rsidRPr="00054E9B">
        <w:t>02. Podpora prek finančnih instrumentov: lastniški kapital ali navidezni lastniški kapital (</w:t>
      </w:r>
      <w:r>
        <w:t>manj</w:t>
      </w:r>
      <w:r w:rsidRPr="00054E9B">
        <w:t xml:space="preserve"> razvite regije): znesek se zniža na 0,00 EUR.</w:t>
      </w:r>
    </w:p>
    <w:p w14:paraId="3BEC9917" w14:textId="77777777" w:rsidR="00860FCE" w:rsidRDefault="00860FCE" w:rsidP="00860FCE">
      <w:pPr>
        <w:spacing w:after="0"/>
      </w:pPr>
      <w:bookmarkStart w:id="72" w:name="_Hlk188509895"/>
    </w:p>
    <w:p w14:paraId="1CBA7E31" w14:textId="65EFCF32" w:rsidR="00054E9B" w:rsidRDefault="00054E9B" w:rsidP="00F67098">
      <w:pPr>
        <w:spacing w:after="0"/>
        <w:jc w:val="both"/>
      </w:pPr>
      <w:r w:rsidRPr="00054E9B">
        <w:t>04. Podpora prek finančnih instrumentov: jamstva</w:t>
      </w:r>
      <w:r>
        <w:t xml:space="preserve"> (bolj razvite regije): znesek se zviša na </w:t>
      </w:r>
      <w:r w:rsidRPr="00054E9B">
        <w:t>31.987.037</w:t>
      </w:r>
      <w:r>
        <w:t>,00 EUR.</w:t>
      </w:r>
    </w:p>
    <w:bookmarkEnd w:id="72"/>
    <w:p w14:paraId="0EA57DD6" w14:textId="77777777" w:rsidR="00860FCE" w:rsidRDefault="00860FCE" w:rsidP="00860FCE">
      <w:pPr>
        <w:spacing w:after="0"/>
      </w:pPr>
    </w:p>
    <w:p w14:paraId="2DE924F9" w14:textId="2A656376" w:rsidR="00054E9B" w:rsidRDefault="00054E9B" w:rsidP="00F67098">
      <w:pPr>
        <w:spacing w:after="0"/>
        <w:jc w:val="both"/>
      </w:pPr>
      <w:r w:rsidRPr="00054E9B">
        <w:t>04. Podpora prek finančnih instrumentov: jamstva (</w:t>
      </w:r>
      <w:r>
        <w:t>manj</w:t>
      </w:r>
      <w:r w:rsidRPr="00054E9B">
        <w:t xml:space="preserve"> razvite regije): znesek se zviša na </w:t>
      </w:r>
      <w:r w:rsidR="006E57F7" w:rsidRPr="006E57F7">
        <w:t>53.012.963</w:t>
      </w:r>
      <w:r w:rsidR="006E57F7">
        <w:t>,00</w:t>
      </w:r>
      <w:r w:rsidRPr="00054E9B">
        <w:t xml:space="preserve"> EUR.</w:t>
      </w:r>
    </w:p>
    <w:p w14:paraId="0C91281F" w14:textId="77777777" w:rsidR="00155B2A" w:rsidRDefault="00155B2A" w:rsidP="00F67098">
      <w:pPr>
        <w:spacing w:after="0"/>
        <w:jc w:val="both"/>
      </w:pPr>
    </w:p>
    <w:p w14:paraId="2C322B1F" w14:textId="2530BC13" w:rsidR="007256EA" w:rsidRDefault="007256EA" w:rsidP="00860FCE">
      <w:pPr>
        <w:spacing w:after="0"/>
      </w:pPr>
      <w:r>
        <w:t xml:space="preserve">Skupna vrednost se zviša na </w:t>
      </w:r>
      <w:r w:rsidRPr="007256EA">
        <w:t>199.184.025</w:t>
      </w:r>
      <w:r>
        <w:t xml:space="preserve">,00 EUR. </w:t>
      </w:r>
    </w:p>
    <w:p w14:paraId="51894589" w14:textId="69285A16" w:rsidR="003F0A4D" w:rsidRDefault="003F0A4D" w:rsidP="00860FCE">
      <w:pPr>
        <w:spacing w:after="0"/>
      </w:pPr>
    </w:p>
    <w:p w14:paraId="24CBD56F" w14:textId="68CABF2F" w:rsidR="007256EA" w:rsidRPr="00A4796C" w:rsidRDefault="007256EA" w:rsidP="00A4796C">
      <w:pPr>
        <w:pStyle w:val="Brezrazmikov"/>
        <w:numPr>
          <w:ilvl w:val="0"/>
          <w:numId w:val="54"/>
        </w:numPr>
        <w:jc w:val="both"/>
        <w:rPr>
          <w:b/>
          <w:bCs/>
          <w:u w:val="single"/>
        </w:rPr>
      </w:pPr>
      <w:r w:rsidRPr="00A4796C">
        <w:rPr>
          <w:b/>
          <w:bCs/>
          <w:u w:val="single"/>
        </w:rPr>
        <w:t>Sprememba Razsežnosti 3 – mehanizem za ozemeljsko izvrševanje in ozemeljski pristop:</w:t>
      </w:r>
    </w:p>
    <w:p w14:paraId="711202A2" w14:textId="77777777" w:rsidR="0012151E" w:rsidRDefault="0012151E" w:rsidP="00860FCE">
      <w:pPr>
        <w:spacing w:after="0"/>
      </w:pPr>
    </w:p>
    <w:p w14:paraId="36D42A1C" w14:textId="0037A06C" w:rsidR="007256EA" w:rsidRDefault="0012151E" w:rsidP="00F67098">
      <w:pPr>
        <w:spacing w:after="0"/>
        <w:jc w:val="both"/>
      </w:pPr>
      <w:r w:rsidRPr="0012151E">
        <w:t>33. Drugi pristopi – brez ozemeljskega ciljnega usmerjanja</w:t>
      </w:r>
      <w:r>
        <w:t xml:space="preserve"> (bolj razvite regije): znesek se zviša na </w:t>
      </w:r>
      <w:r w:rsidRPr="0012151E">
        <w:t>66.143.869</w:t>
      </w:r>
      <w:r>
        <w:t>,00 EUR.</w:t>
      </w:r>
    </w:p>
    <w:p w14:paraId="412CCDFA" w14:textId="77777777" w:rsidR="00860FCE" w:rsidRDefault="00860FCE" w:rsidP="00860FCE">
      <w:pPr>
        <w:spacing w:after="0"/>
      </w:pPr>
    </w:p>
    <w:p w14:paraId="7BDE9511" w14:textId="2E66354F" w:rsidR="0012151E" w:rsidRDefault="0012151E" w:rsidP="00F67098">
      <w:pPr>
        <w:spacing w:after="0"/>
        <w:jc w:val="both"/>
      </w:pPr>
      <w:r w:rsidRPr="0012151E">
        <w:t>33. Drugi pristopi – brez ozemeljskega ciljnega usmerjanja (</w:t>
      </w:r>
      <w:r>
        <w:t>manj</w:t>
      </w:r>
      <w:r w:rsidRPr="0012151E">
        <w:t xml:space="preserve"> razvite regije): znesek se zviša na 120.110.156</w:t>
      </w:r>
      <w:r>
        <w:t xml:space="preserve">,00 </w:t>
      </w:r>
      <w:r w:rsidRPr="0012151E">
        <w:t>EUR.</w:t>
      </w:r>
    </w:p>
    <w:p w14:paraId="5907A9A7" w14:textId="77777777" w:rsidR="00F67098" w:rsidRDefault="00F67098" w:rsidP="00F67098">
      <w:pPr>
        <w:spacing w:after="0"/>
        <w:jc w:val="both"/>
      </w:pPr>
    </w:p>
    <w:p w14:paraId="69185191" w14:textId="6CD0CE65" w:rsidR="0012151E" w:rsidRDefault="0012151E" w:rsidP="00860FCE">
      <w:pPr>
        <w:spacing w:after="0"/>
      </w:pPr>
      <w:r>
        <w:t xml:space="preserve">Skupna vrednost se zviša na </w:t>
      </w:r>
      <w:r w:rsidRPr="0012151E">
        <w:t>199.184.025</w:t>
      </w:r>
      <w:r>
        <w:t>,00 EUR.</w:t>
      </w:r>
    </w:p>
    <w:p w14:paraId="7F2D655C" w14:textId="5E0F0A07" w:rsidR="001B699E" w:rsidRDefault="001B699E" w:rsidP="000F4CBC">
      <w:pPr>
        <w:spacing w:after="0"/>
      </w:pPr>
    </w:p>
    <w:p w14:paraId="429C351D" w14:textId="5B51BF10" w:rsidR="001E184C" w:rsidRPr="00A4796C" w:rsidRDefault="001E184C" w:rsidP="00A4796C">
      <w:pPr>
        <w:pStyle w:val="Brezrazmikov"/>
        <w:numPr>
          <w:ilvl w:val="0"/>
          <w:numId w:val="54"/>
        </w:numPr>
        <w:jc w:val="both"/>
        <w:rPr>
          <w:b/>
          <w:bCs/>
          <w:u w:val="single"/>
        </w:rPr>
      </w:pPr>
      <w:r w:rsidRPr="00A4796C">
        <w:rPr>
          <w:b/>
          <w:bCs/>
          <w:u w:val="single"/>
        </w:rPr>
        <w:t>Sprememba Razsežnost 7 – razsežnost enakosti spolov v okviru ESS+*, ESRR, Kohezijskega sklada in SPP:</w:t>
      </w:r>
    </w:p>
    <w:p w14:paraId="49DAC3C5" w14:textId="77777777" w:rsidR="00986929" w:rsidRPr="00986929" w:rsidRDefault="00986929" w:rsidP="00986929">
      <w:pPr>
        <w:spacing w:after="0"/>
      </w:pPr>
    </w:p>
    <w:p w14:paraId="56163B86" w14:textId="3B1B244E" w:rsidR="001E184C" w:rsidRDefault="001E184C" w:rsidP="00860FCE">
      <w:pPr>
        <w:spacing w:after="0"/>
        <w:jc w:val="both"/>
      </w:pPr>
      <w:r w:rsidRPr="001E184C">
        <w:t>01. Osredotočanje na enakost spolov</w:t>
      </w:r>
      <w:r>
        <w:t xml:space="preserve"> (bolj razvite regije): znesek se </w:t>
      </w:r>
      <w:r w:rsidR="00510EF0">
        <w:t xml:space="preserve">zviša na </w:t>
      </w:r>
      <w:r w:rsidR="00510EF0" w:rsidRPr="00510EF0">
        <w:t>675.808</w:t>
      </w:r>
      <w:r w:rsidR="00510EF0">
        <w:t>,00 EUR.</w:t>
      </w:r>
    </w:p>
    <w:p w14:paraId="12D3C5B3" w14:textId="77777777" w:rsidR="00860FCE" w:rsidRDefault="00860FCE" w:rsidP="00860FCE">
      <w:pPr>
        <w:spacing w:after="0"/>
        <w:jc w:val="both"/>
      </w:pPr>
    </w:p>
    <w:p w14:paraId="69081C7A" w14:textId="62FDAAEA" w:rsidR="00510EF0" w:rsidRDefault="00510EF0" w:rsidP="00860FCE">
      <w:pPr>
        <w:spacing w:after="0"/>
        <w:jc w:val="both"/>
      </w:pPr>
      <w:r w:rsidRPr="00510EF0">
        <w:t>01. Osredotočanje na enakost spolov (</w:t>
      </w:r>
      <w:r>
        <w:t>manj</w:t>
      </w:r>
      <w:r w:rsidRPr="00510EF0">
        <w:t xml:space="preserve"> razvite regije): znesek se zviša na</w:t>
      </w:r>
      <w:r>
        <w:t xml:space="preserve"> </w:t>
      </w:r>
      <w:r w:rsidRPr="00510EF0">
        <w:t>2.787.693</w:t>
      </w:r>
      <w:r>
        <w:t>,00</w:t>
      </w:r>
      <w:r w:rsidRPr="00510EF0">
        <w:t xml:space="preserve"> EUR.</w:t>
      </w:r>
    </w:p>
    <w:p w14:paraId="08F2DE62" w14:textId="77777777" w:rsidR="00860FCE" w:rsidRDefault="00860FCE" w:rsidP="00860FCE">
      <w:pPr>
        <w:spacing w:after="0"/>
        <w:jc w:val="both"/>
      </w:pPr>
    </w:p>
    <w:p w14:paraId="186EBD78" w14:textId="59E3885B" w:rsidR="00510EF0" w:rsidRDefault="00510EF0" w:rsidP="00860FCE">
      <w:pPr>
        <w:spacing w:after="0"/>
        <w:jc w:val="both"/>
      </w:pPr>
      <w:r w:rsidRPr="00510EF0">
        <w:t>03. Spolna nevtralnost</w:t>
      </w:r>
      <w:r>
        <w:t xml:space="preserve"> (bolj razvite regije): znesek se zviša na </w:t>
      </w:r>
      <w:r w:rsidRPr="00510EF0">
        <w:t>67.928.061</w:t>
      </w:r>
      <w:r>
        <w:t>,00 EUR.</w:t>
      </w:r>
    </w:p>
    <w:p w14:paraId="54AC9C98" w14:textId="77777777" w:rsidR="00860FCE" w:rsidRDefault="00860FCE" w:rsidP="00860FCE">
      <w:pPr>
        <w:spacing w:after="0"/>
        <w:jc w:val="both"/>
      </w:pPr>
    </w:p>
    <w:p w14:paraId="03251736" w14:textId="7C7CA400" w:rsidR="00510EF0" w:rsidRDefault="00510EF0" w:rsidP="00860FCE">
      <w:pPr>
        <w:spacing w:after="0"/>
        <w:jc w:val="both"/>
      </w:pPr>
      <w:r w:rsidRPr="00510EF0">
        <w:t>03. Spolna nevtralnost (</w:t>
      </w:r>
      <w:r>
        <w:t>manj</w:t>
      </w:r>
      <w:r w:rsidRPr="00510EF0">
        <w:t xml:space="preserve"> razvite regije): znesek se zviša na</w:t>
      </w:r>
      <w:r w:rsidR="0012641B">
        <w:t xml:space="preserve"> </w:t>
      </w:r>
      <w:r w:rsidR="0012641B" w:rsidRPr="0012641B">
        <w:t>127.792.463</w:t>
      </w:r>
      <w:r w:rsidRPr="00510EF0">
        <w:t xml:space="preserve"> EUR.</w:t>
      </w:r>
    </w:p>
    <w:p w14:paraId="60048980" w14:textId="77777777" w:rsidR="00860FCE" w:rsidRDefault="00860FCE" w:rsidP="00860FCE">
      <w:pPr>
        <w:spacing w:after="0"/>
        <w:jc w:val="both"/>
      </w:pPr>
    </w:p>
    <w:p w14:paraId="41D80B4D" w14:textId="078DA521" w:rsidR="0012641B" w:rsidRDefault="0012641B" w:rsidP="00860FCE">
      <w:pPr>
        <w:spacing w:after="0"/>
        <w:jc w:val="both"/>
      </w:pPr>
      <w:r>
        <w:t xml:space="preserve">Skupna vrednost se zviša na </w:t>
      </w:r>
      <w:r w:rsidRPr="0012641B">
        <w:t>199.184.025</w:t>
      </w:r>
      <w:r>
        <w:t>,00 EUR.</w:t>
      </w:r>
    </w:p>
    <w:p w14:paraId="5E0C93D0" w14:textId="77777777" w:rsidR="00A81F01" w:rsidRPr="000B3E1A" w:rsidRDefault="00A81F01" w:rsidP="000B3E1A">
      <w:pPr>
        <w:spacing w:after="0"/>
      </w:pPr>
    </w:p>
    <w:p w14:paraId="10B547CD" w14:textId="4CF680F9" w:rsidR="008F3668" w:rsidRPr="005D284B" w:rsidRDefault="008F3668" w:rsidP="00446D40">
      <w:pPr>
        <w:pStyle w:val="Naslov3"/>
        <w:numPr>
          <w:ilvl w:val="2"/>
          <w:numId w:val="2"/>
        </w:numPr>
        <w:spacing w:before="0"/>
        <w:rPr>
          <w:color w:val="4472C4" w:themeColor="accent1"/>
        </w:rPr>
      </w:pPr>
      <w:bookmarkStart w:id="73" w:name="_Toc191383860"/>
      <w:r w:rsidRPr="10040D48">
        <w:rPr>
          <w:color w:val="4472C4" w:themeColor="accent1"/>
        </w:rPr>
        <w:t>RSO1.4 Razvoj znanj in spretnosti za pametno specializacijo, industrijski prehod in podjetništvo (ESRR)</w:t>
      </w:r>
      <w:bookmarkEnd w:id="73"/>
    </w:p>
    <w:p w14:paraId="025E61E3" w14:textId="77777777" w:rsidR="00DE6AD2" w:rsidRPr="00DE6AD2" w:rsidRDefault="00DE6AD2" w:rsidP="00DE6AD2">
      <w:pPr>
        <w:spacing w:after="0"/>
      </w:pPr>
    </w:p>
    <w:p w14:paraId="494EFA1D" w14:textId="4D5DFC0F" w:rsidR="001166E4" w:rsidRDefault="001166E4" w:rsidP="00A4796C">
      <w:pPr>
        <w:pStyle w:val="Brezrazmikov"/>
        <w:numPr>
          <w:ilvl w:val="0"/>
          <w:numId w:val="55"/>
        </w:numPr>
        <w:jc w:val="both"/>
      </w:pPr>
      <w:r w:rsidRPr="00932601">
        <w:rPr>
          <w:b/>
          <w:bCs/>
          <w:u w:val="single"/>
        </w:rPr>
        <w:t>Sprememba višine ukrepov</w:t>
      </w:r>
      <w:r>
        <w:t>: Nižanje ukrepov »</w:t>
      </w:r>
      <w:r w:rsidRPr="001166E4">
        <w:t>Kompetenčni centri</w:t>
      </w:r>
      <w:r>
        <w:t>« in »</w:t>
      </w:r>
      <w:r w:rsidR="00EB5114" w:rsidRPr="00EB5114">
        <w:t>Krepitev znanj in spretnosti sistemskih izvajalcev pametne specializacije</w:t>
      </w:r>
      <w:r>
        <w:t xml:space="preserve">«, ki se jih prenese na nov RSO1.6 za namene STEP. </w:t>
      </w:r>
    </w:p>
    <w:p w14:paraId="75DE1574" w14:textId="77777777" w:rsidR="001166E4" w:rsidRDefault="001166E4" w:rsidP="00860FCE">
      <w:pPr>
        <w:pStyle w:val="Brezrazmikov"/>
        <w:jc w:val="both"/>
      </w:pPr>
    </w:p>
    <w:p w14:paraId="63EA0B0F" w14:textId="5591AA5B" w:rsidR="001166E4" w:rsidRDefault="001166E4" w:rsidP="000B3E1A">
      <w:pPr>
        <w:pStyle w:val="Brezrazmikov"/>
        <w:jc w:val="both"/>
      </w:pPr>
      <w:r w:rsidRPr="00932601">
        <w:rPr>
          <w:u w:val="single"/>
        </w:rPr>
        <w:t>Obrazložitev</w:t>
      </w:r>
      <w:r>
        <w:t xml:space="preserve">: </w:t>
      </w:r>
      <w:r w:rsidR="00EB5114">
        <w:t xml:space="preserve">Vrednost ukrepov </w:t>
      </w:r>
      <w:r>
        <w:t xml:space="preserve">se zniža </w:t>
      </w:r>
      <w:r w:rsidRPr="0021152F">
        <w:t>zaradi prenosa sredstev na nov RSO1.6 za namene STEP</w:t>
      </w:r>
      <w:r>
        <w:t>.</w:t>
      </w:r>
    </w:p>
    <w:p w14:paraId="751B00F8" w14:textId="77777777" w:rsidR="00443178" w:rsidRDefault="00443178" w:rsidP="000B3E1A">
      <w:pPr>
        <w:pStyle w:val="Brezrazmikov"/>
        <w:rPr>
          <w:b/>
          <w:bCs/>
          <w:u w:val="single"/>
        </w:rPr>
      </w:pPr>
    </w:p>
    <w:p w14:paraId="58F93DA6" w14:textId="47C888A6" w:rsidR="004C1B88" w:rsidRDefault="004C1B88" w:rsidP="00A4796C">
      <w:pPr>
        <w:pStyle w:val="Brezrazmikov"/>
        <w:numPr>
          <w:ilvl w:val="0"/>
          <w:numId w:val="55"/>
        </w:numPr>
        <w:rPr>
          <w:b/>
          <w:bCs/>
          <w:u w:val="single"/>
        </w:rPr>
      </w:pPr>
      <w:r w:rsidRPr="000B3E1A">
        <w:rPr>
          <w:b/>
          <w:bCs/>
          <w:u w:val="single"/>
        </w:rPr>
        <w:t>Sprememba kazalnika učinka RCO101</w:t>
      </w:r>
      <w:r w:rsidR="005447ED">
        <w:rPr>
          <w:b/>
          <w:bCs/>
          <w:u w:val="single"/>
        </w:rPr>
        <w:t xml:space="preserve"> in kazalnika rezultata RCR98</w:t>
      </w:r>
      <w:r w:rsidRPr="000B3E1A">
        <w:rPr>
          <w:b/>
          <w:bCs/>
          <w:u w:val="single"/>
        </w:rPr>
        <w:t>:</w:t>
      </w:r>
    </w:p>
    <w:p w14:paraId="67107B4A" w14:textId="77777777" w:rsidR="00443178" w:rsidRPr="000B3E1A" w:rsidRDefault="00443178" w:rsidP="00443178">
      <w:pPr>
        <w:pStyle w:val="Brezrazmikov"/>
        <w:rPr>
          <w:b/>
          <w:bCs/>
          <w:u w:val="single"/>
        </w:rPr>
      </w:pPr>
    </w:p>
    <w:p w14:paraId="09D60230" w14:textId="0E099B6E" w:rsidR="004C1B88" w:rsidRDefault="004C1B88" w:rsidP="00F67098">
      <w:pPr>
        <w:pStyle w:val="Brezrazmikov"/>
        <w:jc w:val="both"/>
      </w:pPr>
      <w:r w:rsidRPr="004C1B88">
        <w:t>MSP, ki vlagajo v znanja in spretnosti za pametno specializacijo, industrijski prehod in podjetništvo</w:t>
      </w:r>
      <w:r>
        <w:t xml:space="preserve"> (bolj razvite regije), </w:t>
      </w:r>
      <w:r w:rsidRPr="004C1B88">
        <w:t>kjer se ciljna vrednost z</w:t>
      </w:r>
      <w:r>
        <w:t>niža</w:t>
      </w:r>
      <w:r w:rsidRPr="004C1B88">
        <w:t xml:space="preserve"> za </w:t>
      </w:r>
      <w:r w:rsidR="005447ED">
        <w:t>77</w:t>
      </w:r>
      <w:r w:rsidRPr="004C1B88">
        <w:t xml:space="preserve"> na novo ciljno vrednost </w:t>
      </w:r>
      <w:r>
        <w:t>1</w:t>
      </w:r>
      <w:r w:rsidR="005447ED">
        <w:t>15</w:t>
      </w:r>
      <w:r w:rsidRPr="004C1B88">
        <w:t>.</w:t>
      </w:r>
    </w:p>
    <w:p w14:paraId="5015BFE5" w14:textId="77777777" w:rsidR="004C1B88" w:rsidRDefault="004C1B88" w:rsidP="004C1B88">
      <w:pPr>
        <w:pStyle w:val="Brezrazmikov"/>
      </w:pPr>
    </w:p>
    <w:p w14:paraId="35626901" w14:textId="241C34AB" w:rsidR="004C1B88" w:rsidRDefault="004C1B88" w:rsidP="00F67098">
      <w:pPr>
        <w:pStyle w:val="Brezrazmikov"/>
        <w:jc w:val="both"/>
      </w:pPr>
      <w:r w:rsidRPr="004C1B88">
        <w:t>MSP, ki vlagajo v znanja in spretnosti za pametno specializacijo, industrijski prehod in podjetništvo (</w:t>
      </w:r>
      <w:r>
        <w:t>manj</w:t>
      </w:r>
      <w:r w:rsidRPr="004C1B88">
        <w:t xml:space="preserve"> razvite regije), kjer se ciljna vrednost zniža za </w:t>
      </w:r>
      <w:r w:rsidR="005447ED">
        <w:t>46</w:t>
      </w:r>
      <w:r w:rsidRPr="004C1B88">
        <w:t xml:space="preserve"> na novo ciljno vrednost </w:t>
      </w:r>
      <w:r w:rsidR="005447ED">
        <w:t>162</w:t>
      </w:r>
      <w:r w:rsidRPr="004C1B88">
        <w:t>.</w:t>
      </w:r>
    </w:p>
    <w:p w14:paraId="71A3EC54" w14:textId="77777777" w:rsidR="004C1B88" w:rsidRDefault="004C1B88" w:rsidP="004C1B88">
      <w:pPr>
        <w:pStyle w:val="Brezrazmikov"/>
      </w:pPr>
    </w:p>
    <w:p w14:paraId="14641EC2" w14:textId="77777777" w:rsidR="005447ED" w:rsidRPr="005447ED" w:rsidRDefault="005447ED" w:rsidP="10040D48">
      <w:pPr>
        <w:pStyle w:val="Brezrazmikov"/>
        <w:jc w:val="both"/>
      </w:pPr>
      <w:r>
        <w:t xml:space="preserve">Zaposleni v MSP, ki zaključijo usposabljanje za znanja in spretnosti za pametno specializacijo, industrijsko tranzicijo in podjetništvo (glede na vrsto znanj in spretnosti; tehnična, upravljavska </w:t>
      </w:r>
      <w:r>
        <w:lastRenderedPageBreak/>
        <w:t>podjetniška, zelena, drugo) (bolj razvite regije), kjer se ciljna vrednost zniža za 509 na novo ciljno vrednost 838.</w:t>
      </w:r>
    </w:p>
    <w:p w14:paraId="5FFCA642" w14:textId="77777777" w:rsidR="005447ED" w:rsidRPr="005447ED" w:rsidRDefault="005447ED" w:rsidP="009469ED">
      <w:pPr>
        <w:pStyle w:val="Brezrazmikov"/>
        <w:jc w:val="both"/>
        <w:rPr>
          <w:u w:val="single"/>
        </w:rPr>
      </w:pPr>
    </w:p>
    <w:p w14:paraId="102149C7" w14:textId="77777777" w:rsidR="006059E7" w:rsidRDefault="005447ED" w:rsidP="10040D48">
      <w:pPr>
        <w:pStyle w:val="Brezrazmikov"/>
        <w:jc w:val="both"/>
      </w:pPr>
      <w:r>
        <w:t>Zaposleni v MSP, ki zaključijo usposabljanje za znanja in spretnosti za pametno specializacijo, industrijsko tranzicijo in podjetništvo (glede na vrsto znanj in spretnosti; tehnična, upravljavska podjetniška, zelena, drugo) (manj razvite regije), kjer se ciljna vrednost zniža za 646 na novo ciljno vrednost 1.157.</w:t>
      </w:r>
    </w:p>
    <w:p w14:paraId="67167552" w14:textId="37598F13" w:rsidR="10040D48" w:rsidRDefault="10040D48" w:rsidP="10040D48">
      <w:pPr>
        <w:pStyle w:val="Brezrazmikov"/>
        <w:jc w:val="both"/>
      </w:pPr>
    </w:p>
    <w:p w14:paraId="13F66774" w14:textId="078D1ABB" w:rsidR="1D6B1CE9" w:rsidRDefault="1D6B1CE9" w:rsidP="78B8A772">
      <w:pPr>
        <w:pStyle w:val="Naslov3"/>
        <w:rPr>
          <w:color w:val="auto"/>
          <w:sz w:val="20"/>
          <w:szCs w:val="20"/>
        </w:rPr>
      </w:pPr>
      <w:bookmarkStart w:id="74" w:name="_Toc191383861"/>
      <w:r w:rsidRPr="78B8A772">
        <w:rPr>
          <w:color w:val="auto"/>
          <w:sz w:val="20"/>
          <w:szCs w:val="20"/>
          <w:u w:val="single"/>
        </w:rPr>
        <w:t>Obrazložitev</w:t>
      </w:r>
      <w:r w:rsidRPr="00155B2A">
        <w:rPr>
          <w:color w:val="auto"/>
          <w:sz w:val="20"/>
          <w:szCs w:val="20"/>
        </w:rPr>
        <w:t>: Kazalnika RCO101 in RCR98 se znižata zaradi prenosa sredstev na nov RSO1.6 za namene STEP na račun ukrepa »Kompetenčni centri za razvoj kadrov 4.0« na RSO1.4</w:t>
      </w:r>
      <w:r w:rsidR="1C2A28F3" w:rsidRPr="00155B2A">
        <w:rPr>
          <w:color w:val="auto"/>
          <w:sz w:val="20"/>
          <w:szCs w:val="20"/>
        </w:rPr>
        <w:t>.</w:t>
      </w:r>
      <w:bookmarkEnd w:id="74"/>
    </w:p>
    <w:p w14:paraId="2B38BFC6" w14:textId="77777777" w:rsidR="003B4ADD" w:rsidRPr="003B4ADD" w:rsidRDefault="003B4ADD" w:rsidP="003B4ADD">
      <w:pPr>
        <w:spacing w:after="0"/>
      </w:pPr>
    </w:p>
    <w:p w14:paraId="0FFD33D8" w14:textId="18556893" w:rsidR="546D3CA2" w:rsidRDefault="546D3CA2" w:rsidP="05A12F55">
      <w:pPr>
        <w:pStyle w:val="Odstavekseznama"/>
        <w:numPr>
          <w:ilvl w:val="0"/>
          <w:numId w:val="55"/>
        </w:numPr>
        <w:spacing w:after="0"/>
        <w:jc w:val="both"/>
        <w:rPr>
          <w:rFonts w:eastAsia="Arial" w:cs="Arial"/>
          <w:b/>
          <w:bCs/>
          <w:szCs w:val="20"/>
          <w:u w:val="single"/>
        </w:rPr>
      </w:pPr>
      <w:r w:rsidRPr="10040D48">
        <w:rPr>
          <w:rFonts w:eastAsia="Arial" w:cs="Arial"/>
          <w:b/>
          <w:bCs/>
          <w:szCs w:val="20"/>
          <w:u w:val="single"/>
        </w:rPr>
        <w:t xml:space="preserve">Sprememba Razsežnosti 1 – področje ukrepanja: </w:t>
      </w:r>
    </w:p>
    <w:p w14:paraId="1CE5DA1A" w14:textId="4002ED26" w:rsidR="546D3CA2" w:rsidRPr="00155B2A" w:rsidRDefault="546D3CA2" w:rsidP="05A12F55">
      <w:pPr>
        <w:pStyle w:val="Brezrazmikov"/>
        <w:jc w:val="both"/>
        <w:rPr>
          <w:rFonts w:eastAsia="Arial" w:cs="Arial"/>
          <w:szCs w:val="20"/>
        </w:rPr>
      </w:pPr>
      <w:r w:rsidRPr="10040D48">
        <w:rPr>
          <w:rFonts w:eastAsia="Arial" w:cs="Arial"/>
          <w:szCs w:val="20"/>
        </w:rPr>
        <w:t xml:space="preserve"> </w:t>
      </w:r>
    </w:p>
    <w:p w14:paraId="022643B4" w14:textId="57749947" w:rsidR="546D3CA2" w:rsidRPr="00155B2A" w:rsidRDefault="546D3CA2" w:rsidP="05A12F55">
      <w:pPr>
        <w:pStyle w:val="Brezrazmikov"/>
        <w:jc w:val="both"/>
        <w:rPr>
          <w:rFonts w:eastAsia="Arial" w:cs="Arial"/>
          <w:szCs w:val="20"/>
        </w:rPr>
      </w:pPr>
      <w:r w:rsidRPr="00155B2A">
        <w:rPr>
          <w:rFonts w:eastAsia="Arial" w:cs="Arial"/>
          <w:szCs w:val="20"/>
        </w:rPr>
        <w:t>023. Razvoj znanj in spretnosti za pametno specializacijo, industrijski prehod, podjetništvo in prilagodljivost podjetij na spremembe (bolj razvite regije): znesek se zniža na 2.529.723,00 EUR.</w:t>
      </w:r>
    </w:p>
    <w:p w14:paraId="456AD826" w14:textId="312BF15C" w:rsidR="546D3CA2" w:rsidRPr="00155B2A" w:rsidRDefault="546D3CA2" w:rsidP="05A12F55">
      <w:pPr>
        <w:pStyle w:val="Brezrazmikov"/>
        <w:jc w:val="both"/>
        <w:rPr>
          <w:rFonts w:eastAsia="Arial" w:cs="Arial"/>
          <w:szCs w:val="20"/>
        </w:rPr>
      </w:pPr>
      <w:r w:rsidRPr="00155B2A">
        <w:rPr>
          <w:rFonts w:eastAsia="Arial" w:cs="Arial"/>
          <w:szCs w:val="20"/>
        </w:rPr>
        <w:t xml:space="preserve"> </w:t>
      </w:r>
    </w:p>
    <w:p w14:paraId="0905F6EE" w14:textId="58C75557" w:rsidR="546D3CA2" w:rsidRPr="00155B2A" w:rsidRDefault="546D3CA2" w:rsidP="05A12F55">
      <w:pPr>
        <w:pStyle w:val="Brezrazmikov"/>
        <w:jc w:val="both"/>
        <w:rPr>
          <w:rFonts w:eastAsia="Arial" w:cs="Arial"/>
          <w:szCs w:val="20"/>
        </w:rPr>
      </w:pPr>
      <w:r w:rsidRPr="00155B2A">
        <w:rPr>
          <w:rFonts w:eastAsia="Arial" w:cs="Arial"/>
          <w:szCs w:val="20"/>
        </w:rPr>
        <w:t>023. Razvoj znanj in spretnosti za pametno specializacijo, industrijski prehod, podjetništvo in prilagodljivost podjetij na spremembe (manj razvite regije): znesek se zniža na 6.166.944,00 EUR.</w:t>
      </w:r>
    </w:p>
    <w:p w14:paraId="59EFC9DC" w14:textId="5BF627F4" w:rsidR="546D3CA2" w:rsidRPr="00155B2A" w:rsidRDefault="546D3CA2" w:rsidP="05A12F55">
      <w:pPr>
        <w:pStyle w:val="Brezrazmikov"/>
        <w:jc w:val="both"/>
        <w:rPr>
          <w:rFonts w:eastAsia="Arial" w:cs="Arial"/>
          <w:szCs w:val="20"/>
        </w:rPr>
      </w:pPr>
      <w:r w:rsidRPr="00155B2A">
        <w:rPr>
          <w:rFonts w:eastAsia="Arial" w:cs="Arial"/>
          <w:szCs w:val="20"/>
        </w:rPr>
        <w:t xml:space="preserve"> </w:t>
      </w:r>
    </w:p>
    <w:p w14:paraId="2FFB7B1C" w14:textId="5D1DC415" w:rsidR="546D3CA2" w:rsidRPr="00155B2A" w:rsidRDefault="546D3CA2" w:rsidP="05A12F55">
      <w:pPr>
        <w:pStyle w:val="Brezrazmikov"/>
        <w:jc w:val="both"/>
        <w:rPr>
          <w:rFonts w:eastAsia="Arial" w:cs="Arial"/>
          <w:szCs w:val="20"/>
        </w:rPr>
      </w:pPr>
      <w:r w:rsidRPr="00155B2A">
        <w:rPr>
          <w:rFonts w:eastAsia="Arial" w:cs="Arial"/>
          <w:szCs w:val="20"/>
        </w:rPr>
        <w:t>Skupna vrednost se zniža na 9.233.433,00 EUR.</w:t>
      </w:r>
    </w:p>
    <w:p w14:paraId="0A9B9A9E" w14:textId="0E6FAD84" w:rsidR="546D3CA2" w:rsidRPr="00155B2A" w:rsidRDefault="546D3CA2" w:rsidP="05A12F55">
      <w:pPr>
        <w:pStyle w:val="Brezrazmikov"/>
        <w:jc w:val="both"/>
        <w:rPr>
          <w:rFonts w:eastAsia="Arial" w:cs="Arial"/>
          <w:szCs w:val="20"/>
        </w:rPr>
      </w:pPr>
      <w:r w:rsidRPr="00155B2A">
        <w:rPr>
          <w:rFonts w:eastAsia="Arial" w:cs="Arial"/>
          <w:szCs w:val="20"/>
        </w:rPr>
        <w:t xml:space="preserve"> </w:t>
      </w:r>
    </w:p>
    <w:p w14:paraId="7A40389F" w14:textId="4E9C1660" w:rsidR="546D3CA2" w:rsidRPr="00155B2A" w:rsidRDefault="546D3CA2" w:rsidP="05A12F55">
      <w:pPr>
        <w:pStyle w:val="Brezrazmikov"/>
        <w:jc w:val="both"/>
        <w:rPr>
          <w:rFonts w:eastAsia="Arial" w:cs="Arial"/>
          <w:szCs w:val="20"/>
        </w:rPr>
      </w:pPr>
      <w:r w:rsidRPr="00155B2A">
        <w:rPr>
          <w:rFonts w:eastAsia="Arial" w:cs="Arial"/>
          <w:szCs w:val="20"/>
          <w:u w:val="single"/>
        </w:rPr>
        <w:t>Obrazložitev</w:t>
      </w:r>
      <w:r w:rsidRPr="00155B2A">
        <w:rPr>
          <w:rFonts w:eastAsia="Arial" w:cs="Arial"/>
          <w:szCs w:val="20"/>
        </w:rPr>
        <w:t>: Spremembe vrednosti posameznega področja ukrepanja so nastale zaradi spremenjenih dejstev kot je prenos za namene STEP.</w:t>
      </w:r>
    </w:p>
    <w:p w14:paraId="0D594233" w14:textId="4BA5B60F" w:rsidR="546D3CA2" w:rsidRDefault="546D3CA2" w:rsidP="05A12F55">
      <w:pPr>
        <w:pStyle w:val="Brezrazmikov"/>
        <w:jc w:val="both"/>
        <w:rPr>
          <w:rFonts w:eastAsia="Arial" w:cs="Arial"/>
          <w:szCs w:val="20"/>
        </w:rPr>
      </w:pPr>
      <w:r w:rsidRPr="10040D48">
        <w:rPr>
          <w:rFonts w:eastAsia="Arial" w:cs="Arial"/>
          <w:szCs w:val="20"/>
        </w:rPr>
        <w:t xml:space="preserve">  </w:t>
      </w:r>
    </w:p>
    <w:p w14:paraId="3BD3D034" w14:textId="4E9D8F6B" w:rsidR="546D3CA2" w:rsidRDefault="546D3CA2" w:rsidP="05A12F55">
      <w:pPr>
        <w:pStyle w:val="Odstavekseznama"/>
        <w:numPr>
          <w:ilvl w:val="0"/>
          <w:numId w:val="55"/>
        </w:numPr>
        <w:spacing w:after="0"/>
        <w:jc w:val="both"/>
        <w:rPr>
          <w:rFonts w:eastAsia="Arial" w:cs="Arial"/>
          <w:b/>
          <w:bCs/>
          <w:szCs w:val="20"/>
          <w:u w:val="single"/>
        </w:rPr>
      </w:pPr>
      <w:r w:rsidRPr="10040D48">
        <w:rPr>
          <w:rFonts w:eastAsia="Arial" w:cs="Arial"/>
          <w:b/>
          <w:bCs/>
          <w:szCs w:val="20"/>
          <w:u w:val="single"/>
        </w:rPr>
        <w:t>Sprememba Razsežnosti 2 – oblika financiranja:</w:t>
      </w:r>
    </w:p>
    <w:p w14:paraId="0428A2C7" w14:textId="04AD95D4" w:rsidR="546D3CA2" w:rsidRDefault="546D3CA2" w:rsidP="05A12F55">
      <w:pPr>
        <w:pStyle w:val="Brezrazmikov"/>
        <w:jc w:val="both"/>
        <w:rPr>
          <w:rFonts w:eastAsia="Arial" w:cs="Arial"/>
          <w:szCs w:val="20"/>
        </w:rPr>
      </w:pPr>
      <w:r w:rsidRPr="10040D48">
        <w:rPr>
          <w:rFonts w:eastAsia="Arial" w:cs="Arial"/>
          <w:szCs w:val="20"/>
        </w:rPr>
        <w:t xml:space="preserve"> </w:t>
      </w:r>
    </w:p>
    <w:p w14:paraId="13E707A8" w14:textId="47A6218E" w:rsidR="546D3CA2" w:rsidRPr="00155B2A" w:rsidRDefault="546D3CA2" w:rsidP="05A12F55">
      <w:pPr>
        <w:pStyle w:val="Brezrazmikov"/>
        <w:jc w:val="both"/>
        <w:rPr>
          <w:rFonts w:eastAsia="Arial" w:cs="Arial"/>
          <w:szCs w:val="20"/>
        </w:rPr>
      </w:pPr>
      <w:r w:rsidRPr="00155B2A">
        <w:rPr>
          <w:rFonts w:eastAsia="Arial" w:cs="Arial"/>
          <w:szCs w:val="20"/>
        </w:rPr>
        <w:t>01. Nepovratna sredstva (bolj razvite regije): znesek se zniža na 3.529.723,00 EUR.</w:t>
      </w:r>
    </w:p>
    <w:p w14:paraId="314EAB0B" w14:textId="60B0472B" w:rsidR="546D3CA2" w:rsidRPr="00155B2A" w:rsidRDefault="546D3CA2" w:rsidP="05A12F55">
      <w:pPr>
        <w:pStyle w:val="Brezrazmikov"/>
        <w:jc w:val="both"/>
        <w:rPr>
          <w:rFonts w:eastAsia="Arial" w:cs="Arial"/>
          <w:szCs w:val="20"/>
        </w:rPr>
      </w:pPr>
      <w:r w:rsidRPr="00155B2A">
        <w:rPr>
          <w:rFonts w:eastAsia="Arial" w:cs="Arial"/>
          <w:szCs w:val="20"/>
        </w:rPr>
        <w:t xml:space="preserve"> </w:t>
      </w:r>
    </w:p>
    <w:p w14:paraId="028A42E8" w14:textId="44A18813" w:rsidR="546D3CA2" w:rsidRPr="00155B2A" w:rsidRDefault="546D3CA2" w:rsidP="05A12F55">
      <w:pPr>
        <w:pStyle w:val="Brezrazmikov"/>
        <w:jc w:val="both"/>
        <w:rPr>
          <w:rFonts w:eastAsia="Arial" w:cs="Arial"/>
          <w:szCs w:val="20"/>
        </w:rPr>
      </w:pPr>
      <w:r w:rsidRPr="00155B2A">
        <w:rPr>
          <w:rFonts w:eastAsia="Arial" w:cs="Arial"/>
          <w:szCs w:val="20"/>
        </w:rPr>
        <w:t>01. Nepovratna sredstva (manj razvite regije): znesek se zniža na 9.756.944,00 EUR.</w:t>
      </w:r>
    </w:p>
    <w:p w14:paraId="36D4D09A" w14:textId="35306BD5" w:rsidR="546D3CA2" w:rsidRPr="00155B2A" w:rsidRDefault="546D3CA2" w:rsidP="05A12F55">
      <w:pPr>
        <w:pStyle w:val="Brezrazmikov"/>
        <w:jc w:val="both"/>
        <w:rPr>
          <w:rFonts w:eastAsia="Arial" w:cs="Arial"/>
          <w:szCs w:val="20"/>
        </w:rPr>
      </w:pPr>
      <w:r w:rsidRPr="00155B2A">
        <w:rPr>
          <w:rFonts w:eastAsia="Arial" w:cs="Arial"/>
          <w:szCs w:val="20"/>
        </w:rPr>
        <w:t xml:space="preserve"> </w:t>
      </w:r>
    </w:p>
    <w:p w14:paraId="333CB547" w14:textId="3C88E1F4" w:rsidR="546D3CA2" w:rsidRPr="00155B2A" w:rsidRDefault="546D3CA2" w:rsidP="05A12F55">
      <w:pPr>
        <w:pStyle w:val="Brezrazmikov"/>
        <w:jc w:val="both"/>
        <w:rPr>
          <w:rFonts w:eastAsia="Arial" w:cs="Arial"/>
          <w:szCs w:val="20"/>
        </w:rPr>
      </w:pPr>
      <w:r w:rsidRPr="00155B2A">
        <w:rPr>
          <w:rFonts w:eastAsia="Arial" w:cs="Arial"/>
          <w:szCs w:val="20"/>
        </w:rPr>
        <w:t>Skupna vrednost se zniža na 13.286.667,00 EUR.</w:t>
      </w:r>
    </w:p>
    <w:p w14:paraId="7995B624" w14:textId="6BD7B093" w:rsidR="546D3CA2" w:rsidRDefault="546D3CA2" w:rsidP="05A12F55">
      <w:pPr>
        <w:pStyle w:val="Brezrazmikov"/>
        <w:jc w:val="both"/>
        <w:rPr>
          <w:rFonts w:eastAsia="Arial" w:cs="Arial"/>
          <w:szCs w:val="20"/>
        </w:rPr>
      </w:pPr>
      <w:r w:rsidRPr="10040D48">
        <w:rPr>
          <w:rFonts w:eastAsia="Arial" w:cs="Arial"/>
          <w:szCs w:val="20"/>
        </w:rPr>
        <w:t xml:space="preserve"> </w:t>
      </w:r>
    </w:p>
    <w:p w14:paraId="219A1B77" w14:textId="72FC2355" w:rsidR="546D3CA2" w:rsidRPr="00155B2A" w:rsidRDefault="546D3CA2" w:rsidP="05A12F55">
      <w:pPr>
        <w:pStyle w:val="Brezrazmikov"/>
        <w:jc w:val="both"/>
        <w:rPr>
          <w:rFonts w:eastAsia="Arial" w:cs="Arial"/>
          <w:szCs w:val="20"/>
        </w:rPr>
      </w:pPr>
      <w:r w:rsidRPr="10040D48">
        <w:rPr>
          <w:rFonts w:eastAsia="Arial" w:cs="Arial"/>
          <w:szCs w:val="20"/>
          <w:u w:val="single"/>
        </w:rPr>
        <w:t>Obrazložitev</w:t>
      </w:r>
      <w:r w:rsidRPr="00155B2A">
        <w:rPr>
          <w:rFonts w:eastAsia="Arial" w:cs="Arial"/>
          <w:szCs w:val="20"/>
        </w:rPr>
        <w:t>: Spremembe vrednosti posameznega področja ukrepanja so nastale zaradi spremenjenih dejstev kot je prenos za namene STEP.</w:t>
      </w:r>
    </w:p>
    <w:p w14:paraId="592E0E8A" w14:textId="32D97D4D" w:rsidR="546D3CA2" w:rsidRDefault="546D3CA2" w:rsidP="05A12F55">
      <w:pPr>
        <w:pStyle w:val="Brezrazmikov"/>
        <w:jc w:val="both"/>
        <w:rPr>
          <w:rFonts w:eastAsia="Arial" w:cs="Arial"/>
          <w:szCs w:val="20"/>
        </w:rPr>
      </w:pPr>
      <w:r w:rsidRPr="10040D48">
        <w:rPr>
          <w:rFonts w:eastAsia="Arial" w:cs="Arial"/>
          <w:szCs w:val="20"/>
        </w:rPr>
        <w:t xml:space="preserve">  </w:t>
      </w:r>
    </w:p>
    <w:p w14:paraId="09ED2BB0" w14:textId="1B3033C7" w:rsidR="546D3CA2" w:rsidRDefault="546D3CA2" w:rsidP="05A12F55">
      <w:pPr>
        <w:pStyle w:val="Odstavekseznama"/>
        <w:numPr>
          <w:ilvl w:val="0"/>
          <w:numId w:val="55"/>
        </w:numPr>
        <w:spacing w:after="0"/>
        <w:jc w:val="both"/>
        <w:rPr>
          <w:rFonts w:eastAsia="Arial" w:cs="Arial"/>
          <w:b/>
          <w:bCs/>
          <w:szCs w:val="20"/>
          <w:u w:val="single"/>
        </w:rPr>
      </w:pPr>
      <w:r w:rsidRPr="10040D48">
        <w:rPr>
          <w:rFonts w:eastAsia="Arial" w:cs="Arial"/>
          <w:b/>
          <w:bCs/>
          <w:szCs w:val="20"/>
          <w:u w:val="single"/>
        </w:rPr>
        <w:t>Sprememba Razsežnosti 3 – mehanizem za ozemeljsko izvrševanje in ozemeljski pristop:</w:t>
      </w:r>
    </w:p>
    <w:p w14:paraId="38CB72F9" w14:textId="236A2BDA" w:rsidR="546D3CA2" w:rsidRDefault="546D3CA2" w:rsidP="05A12F55">
      <w:pPr>
        <w:pStyle w:val="Brezrazmikov"/>
        <w:jc w:val="both"/>
        <w:rPr>
          <w:rFonts w:eastAsia="Arial" w:cs="Arial"/>
          <w:szCs w:val="20"/>
        </w:rPr>
      </w:pPr>
      <w:r w:rsidRPr="10040D48">
        <w:rPr>
          <w:rFonts w:eastAsia="Arial" w:cs="Arial"/>
          <w:szCs w:val="20"/>
        </w:rPr>
        <w:t xml:space="preserve"> </w:t>
      </w:r>
    </w:p>
    <w:p w14:paraId="62D9FD59" w14:textId="7066E2B8" w:rsidR="546D3CA2" w:rsidRPr="00B42F3B" w:rsidRDefault="546D3CA2" w:rsidP="05A12F55">
      <w:pPr>
        <w:pStyle w:val="Brezrazmikov"/>
        <w:jc w:val="both"/>
        <w:rPr>
          <w:rFonts w:eastAsia="Arial" w:cs="Arial"/>
          <w:szCs w:val="20"/>
        </w:rPr>
      </w:pPr>
      <w:r w:rsidRPr="00B42F3B">
        <w:rPr>
          <w:rFonts w:eastAsia="Arial" w:cs="Arial"/>
          <w:szCs w:val="20"/>
        </w:rPr>
        <w:t>33. Drugi pristopi – brez ozemeljskega ciljnega usmerjanja (bolj razvite regije): znesek se zniža na 3.529.723,00 EUR.</w:t>
      </w:r>
    </w:p>
    <w:p w14:paraId="796ECCF9" w14:textId="7CF681A6" w:rsidR="546D3CA2" w:rsidRPr="00B42F3B" w:rsidRDefault="546D3CA2" w:rsidP="05A12F55">
      <w:pPr>
        <w:pStyle w:val="Brezrazmikov"/>
        <w:jc w:val="both"/>
        <w:rPr>
          <w:rFonts w:eastAsia="Arial" w:cs="Arial"/>
          <w:szCs w:val="20"/>
        </w:rPr>
      </w:pPr>
      <w:r w:rsidRPr="00B42F3B">
        <w:rPr>
          <w:rFonts w:eastAsia="Arial" w:cs="Arial"/>
          <w:szCs w:val="20"/>
        </w:rPr>
        <w:t xml:space="preserve"> </w:t>
      </w:r>
    </w:p>
    <w:p w14:paraId="475E9CA1" w14:textId="36B2D44F" w:rsidR="546D3CA2" w:rsidRPr="00B42F3B" w:rsidRDefault="546D3CA2" w:rsidP="05A12F55">
      <w:pPr>
        <w:pStyle w:val="Brezrazmikov"/>
        <w:jc w:val="both"/>
        <w:rPr>
          <w:rFonts w:eastAsia="Arial" w:cs="Arial"/>
          <w:szCs w:val="20"/>
        </w:rPr>
      </w:pPr>
      <w:r w:rsidRPr="00B42F3B">
        <w:rPr>
          <w:rFonts w:eastAsia="Arial" w:cs="Arial"/>
          <w:szCs w:val="20"/>
        </w:rPr>
        <w:t>33. Drugi pristopi – brez ozemeljskega ciljnega usmerjanja (manj razvite regije): znesek se zniža na 9.756.944,00 EUR.</w:t>
      </w:r>
    </w:p>
    <w:p w14:paraId="74BBD619" w14:textId="630EA37A" w:rsidR="546D3CA2" w:rsidRPr="00B42F3B" w:rsidRDefault="546D3CA2" w:rsidP="05A12F55">
      <w:pPr>
        <w:pStyle w:val="Brezrazmikov"/>
        <w:jc w:val="both"/>
        <w:rPr>
          <w:rFonts w:eastAsia="Arial" w:cs="Arial"/>
          <w:szCs w:val="20"/>
        </w:rPr>
      </w:pPr>
      <w:r w:rsidRPr="00B42F3B">
        <w:rPr>
          <w:rFonts w:eastAsia="Arial" w:cs="Arial"/>
          <w:szCs w:val="20"/>
        </w:rPr>
        <w:t xml:space="preserve"> </w:t>
      </w:r>
    </w:p>
    <w:p w14:paraId="0E5F22CB" w14:textId="373DA272" w:rsidR="546D3CA2" w:rsidRPr="00B42F3B" w:rsidRDefault="546D3CA2" w:rsidP="05A12F55">
      <w:pPr>
        <w:pStyle w:val="Brezrazmikov"/>
        <w:jc w:val="both"/>
        <w:rPr>
          <w:rFonts w:eastAsia="Arial" w:cs="Arial"/>
          <w:szCs w:val="20"/>
        </w:rPr>
      </w:pPr>
      <w:r w:rsidRPr="00B42F3B">
        <w:rPr>
          <w:rFonts w:eastAsia="Arial" w:cs="Arial"/>
          <w:szCs w:val="20"/>
        </w:rPr>
        <w:t>Skupna vrednost se zniža na 13.286.667,00 EUR.</w:t>
      </w:r>
    </w:p>
    <w:p w14:paraId="74A4A483" w14:textId="7120D7D0" w:rsidR="546D3CA2" w:rsidRPr="00B42F3B" w:rsidRDefault="546D3CA2" w:rsidP="05A12F55">
      <w:pPr>
        <w:pStyle w:val="Brezrazmikov"/>
        <w:jc w:val="both"/>
        <w:rPr>
          <w:rFonts w:eastAsia="Arial" w:cs="Arial"/>
          <w:szCs w:val="20"/>
        </w:rPr>
      </w:pPr>
      <w:r w:rsidRPr="00B42F3B">
        <w:rPr>
          <w:rFonts w:eastAsia="Arial" w:cs="Arial"/>
          <w:szCs w:val="20"/>
        </w:rPr>
        <w:t xml:space="preserve"> </w:t>
      </w:r>
    </w:p>
    <w:p w14:paraId="7DD43BF2" w14:textId="0AE54F3C" w:rsidR="546D3CA2" w:rsidRPr="00B42F3B" w:rsidRDefault="546D3CA2" w:rsidP="05A12F55">
      <w:pPr>
        <w:pStyle w:val="Brezrazmikov"/>
        <w:jc w:val="both"/>
        <w:rPr>
          <w:rFonts w:eastAsia="Arial" w:cs="Arial"/>
          <w:szCs w:val="20"/>
        </w:rPr>
      </w:pPr>
      <w:r w:rsidRPr="10040D48">
        <w:rPr>
          <w:rFonts w:eastAsia="Arial" w:cs="Arial"/>
          <w:szCs w:val="20"/>
          <w:u w:val="single"/>
        </w:rPr>
        <w:t>Obrazložitev</w:t>
      </w:r>
      <w:r w:rsidRPr="00B42F3B">
        <w:rPr>
          <w:rFonts w:eastAsia="Arial" w:cs="Arial"/>
          <w:szCs w:val="20"/>
        </w:rPr>
        <w:t>: Spremembe vrednosti posameznega področja ukrepanja so nastale zaradi spremenjenih dejstev kot je prenos za namene STEP.</w:t>
      </w:r>
    </w:p>
    <w:p w14:paraId="4A029EC1" w14:textId="5CA8B5CF" w:rsidR="546D3CA2" w:rsidRDefault="546D3CA2" w:rsidP="05A12F55">
      <w:pPr>
        <w:pStyle w:val="Brezrazmikov"/>
        <w:jc w:val="both"/>
        <w:rPr>
          <w:rFonts w:eastAsia="Arial" w:cs="Arial"/>
          <w:szCs w:val="20"/>
        </w:rPr>
      </w:pPr>
      <w:r w:rsidRPr="10040D48">
        <w:rPr>
          <w:rFonts w:eastAsia="Arial" w:cs="Arial"/>
          <w:szCs w:val="20"/>
        </w:rPr>
        <w:t xml:space="preserve">  </w:t>
      </w:r>
    </w:p>
    <w:p w14:paraId="0C885A65" w14:textId="515B3490" w:rsidR="546D3CA2" w:rsidRDefault="546D3CA2" w:rsidP="05A12F55">
      <w:pPr>
        <w:pStyle w:val="Odstavekseznama"/>
        <w:numPr>
          <w:ilvl w:val="0"/>
          <w:numId w:val="55"/>
        </w:numPr>
        <w:spacing w:after="0"/>
        <w:jc w:val="both"/>
        <w:rPr>
          <w:rFonts w:eastAsia="Arial" w:cs="Arial"/>
          <w:b/>
          <w:bCs/>
          <w:szCs w:val="20"/>
          <w:u w:val="single"/>
        </w:rPr>
      </w:pPr>
      <w:r w:rsidRPr="10040D48">
        <w:rPr>
          <w:rFonts w:eastAsia="Arial" w:cs="Arial"/>
          <w:b/>
          <w:bCs/>
          <w:szCs w:val="20"/>
          <w:u w:val="single"/>
        </w:rPr>
        <w:t>Sprememba Razsežnosti 7 – razsežnost enakosti spolov v okviru ESS+*, ESRR, Kohezijskega sklada in SPP:</w:t>
      </w:r>
    </w:p>
    <w:p w14:paraId="6730BDC8" w14:textId="05F01B75" w:rsidR="546D3CA2" w:rsidRDefault="546D3CA2" w:rsidP="05A12F55">
      <w:pPr>
        <w:pStyle w:val="Brezrazmikov"/>
        <w:jc w:val="both"/>
        <w:rPr>
          <w:rFonts w:eastAsia="Arial" w:cs="Arial"/>
          <w:szCs w:val="20"/>
        </w:rPr>
      </w:pPr>
      <w:r w:rsidRPr="10040D48">
        <w:rPr>
          <w:rFonts w:eastAsia="Arial" w:cs="Arial"/>
          <w:szCs w:val="20"/>
        </w:rPr>
        <w:t xml:space="preserve"> </w:t>
      </w:r>
    </w:p>
    <w:p w14:paraId="12A87258" w14:textId="3001F450" w:rsidR="546D3CA2" w:rsidRPr="00D82F16" w:rsidRDefault="546D3CA2" w:rsidP="05A12F55">
      <w:pPr>
        <w:pStyle w:val="Brezrazmikov"/>
        <w:jc w:val="both"/>
        <w:rPr>
          <w:rFonts w:eastAsia="Arial" w:cs="Arial"/>
          <w:szCs w:val="20"/>
        </w:rPr>
      </w:pPr>
      <w:r w:rsidRPr="00D82F16">
        <w:rPr>
          <w:rFonts w:eastAsia="Arial" w:cs="Arial"/>
          <w:szCs w:val="20"/>
        </w:rPr>
        <w:t>02. Vključevanje vidika spola (bolj razvite regije): znesek se zniža na 1.062.933,00 EUR.</w:t>
      </w:r>
    </w:p>
    <w:p w14:paraId="0E688CEB" w14:textId="61B1AC8F" w:rsidR="546D3CA2" w:rsidRPr="00D82F16" w:rsidRDefault="546D3CA2" w:rsidP="05A12F55">
      <w:pPr>
        <w:pStyle w:val="Brezrazmikov"/>
        <w:jc w:val="both"/>
        <w:rPr>
          <w:rFonts w:eastAsia="Arial" w:cs="Arial"/>
          <w:szCs w:val="20"/>
        </w:rPr>
      </w:pPr>
      <w:r w:rsidRPr="00D82F16">
        <w:rPr>
          <w:rFonts w:eastAsia="Arial" w:cs="Arial"/>
          <w:szCs w:val="20"/>
        </w:rPr>
        <w:t xml:space="preserve"> </w:t>
      </w:r>
    </w:p>
    <w:p w14:paraId="74D37B51" w14:textId="6992EFD4" w:rsidR="546D3CA2" w:rsidRPr="00D82F16" w:rsidRDefault="546D3CA2" w:rsidP="05A12F55">
      <w:pPr>
        <w:pStyle w:val="Brezrazmikov"/>
        <w:jc w:val="both"/>
        <w:rPr>
          <w:rFonts w:eastAsia="Arial" w:cs="Arial"/>
          <w:szCs w:val="20"/>
        </w:rPr>
      </w:pPr>
      <w:r w:rsidRPr="00D82F16">
        <w:rPr>
          <w:rFonts w:eastAsia="Arial" w:cs="Arial"/>
          <w:szCs w:val="20"/>
        </w:rPr>
        <w:t xml:space="preserve">02. Vključevanje vidika spola (manj razvite regije): znesek se zniža na 3.055.934,00 EUR. </w:t>
      </w:r>
    </w:p>
    <w:p w14:paraId="73E58883" w14:textId="7989DCAF" w:rsidR="546D3CA2" w:rsidRPr="00D82F16" w:rsidRDefault="546D3CA2" w:rsidP="05A12F55">
      <w:pPr>
        <w:pStyle w:val="Brezrazmikov"/>
        <w:jc w:val="both"/>
        <w:rPr>
          <w:rFonts w:eastAsia="Arial" w:cs="Arial"/>
          <w:szCs w:val="20"/>
        </w:rPr>
      </w:pPr>
      <w:r w:rsidRPr="00D82F16">
        <w:rPr>
          <w:rFonts w:eastAsia="Arial" w:cs="Arial"/>
          <w:szCs w:val="20"/>
        </w:rPr>
        <w:t xml:space="preserve"> </w:t>
      </w:r>
    </w:p>
    <w:p w14:paraId="5116F5A5" w14:textId="4132C8DD" w:rsidR="546D3CA2" w:rsidRPr="00D82F16" w:rsidRDefault="546D3CA2" w:rsidP="05A12F55">
      <w:pPr>
        <w:pStyle w:val="Brezrazmikov"/>
        <w:jc w:val="both"/>
        <w:rPr>
          <w:rFonts w:eastAsia="Arial" w:cs="Arial"/>
          <w:szCs w:val="20"/>
        </w:rPr>
      </w:pPr>
      <w:r w:rsidRPr="00D82F16">
        <w:rPr>
          <w:rFonts w:eastAsia="Arial" w:cs="Arial"/>
          <w:szCs w:val="20"/>
        </w:rPr>
        <w:t>03. Spolna nevtralnost (bolj razvite regije): znesek se zniža na 2.391.600,00 EUR.</w:t>
      </w:r>
    </w:p>
    <w:p w14:paraId="25C342A3" w14:textId="23C8E97F" w:rsidR="546D3CA2" w:rsidRPr="00D82F16" w:rsidRDefault="546D3CA2" w:rsidP="05A12F55">
      <w:pPr>
        <w:pStyle w:val="Brezrazmikov"/>
        <w:jc w:val="both"/>
        <w:rPr>
          <w:rFonts w:eastAsia="Arial" w:cs="Arial"/>
          <w:szCs w:val="20"/>
        </w:rPr>
      </w:pPr>
      <w:r w:rsidRPr="00D82F16">
        <w:rPr>
          <w:rFonts w:eastAsia="Arial" w:cs="Arial"/>
          <w:szCs w:val="20"/>
        </w:rPr>
        <w:t xml:space="preserve"> </w:t>
      </w:r>
    </w:p>
    <w:p w14:paraId="55B4E78F" w14:textId="6755BA1E" w:rsidR="546D3CA2" w:rsidRPr="00D82F16" w:rsidRDefault="546D3CA2" w:rsidP="05A12F55">
      <w:pPr>
        <w:pStyle w:val="Brezrazmikov"/>
        <w:jc w:val="both"/>
        <w:rPr>
          <w:rFonts w:eastAsia="Arial" w:cs="Arial"/>
          <w:szCs w:val="20"/>
        </w:rPr>
      </w:pPr>
      <w:r w:rsidRPr="00D82F16">
        <w:rPr>
          <w:rFonts w:eastAsia="Arial" w:cs="Arial"/>
          <w:szCs w:val="20"/>
        </w:rPr>
        <w:t>03. Spolna nevtralnost (manj razvite regije): znesek se zniža na 6.776.200,00 EUR.</w:t>
      </w:r>
    </w:p>
    <w:p w14:paraId="00A3CA78" w14:textId="4F53A0F0" w:rsidR="546D3CA2" w:rsidRPr="00D82F16" w:rsidRDefault="546D3CA2" w:rsidP="05A12F55">
      <w:pPr>
        <w:pStyle w:val="Brezrazmikov"/>
        <w:jc w:val="both"/>
        <w:rPr>
          <w:rFonts w:eastAsia="Arial" w:cs="Arial"/>
          <w:szCs w:val="20"/>
        </w:rPr>
      </w:pPr>
      <w:r w:rsidRPr="00D82F16">
        <w:rPr>
          <w:rFonts w:eastAsia="Arial" w:cs="Arial"/>
          <w:szCs w:val="20"/>
        </w:rPr>
        <w:t xml:space="preserve"> Skupna vrednost se zniža na 13.286.667,00 EUR.</w:t>
      </w:r>
    </w:p>
    <w:p w14:paraId="2FC8F0B1" w14:textId="1776A90C" w:rsidR="546D3CA2" w:rsidRDefault="546D3CA2" w:rsidP="05A12F55">
      <w:pPr>
        <w:pStyle w:val="Brezrazmikov"/>
        <w:jc w:val="both"/>
        <w:rPr>
          <w:rFonts w:eastAsia="Arial" w:cs="Arial"/>
          <w:szCs w:val="20"/>
        </w:rPr>
      </w:pPr>
      <w:r w:rsidRPr="10040D48">
        <w:rPr>
          <w:rFonts w:eastAsia="Arial" w:cs="Arial"/>
          <w:szCs w:val="20"/>
        </w:rPr>
        <w:t xml:space="preserve"> </w:t>
      </w:r>
    </w:p>
    <w:p w14:paraId="553141A8" w14:textId="294C2F14" w:rsidR="546D3CA2" w:rsidRPr="00D82F16" w:rsidRDefault="546D3CA2" w:rsidP="05A12F55">
      <w:pPr>
        <w:pStyle w:val="Brezrazmikov"/>
        <w:jc w:val="both"/>
        <w:rPr>
          <w:rFonts w:eastAsia="Arial" w:cs="Arial"/>
          <w:szCs w:val="20"/>
        </w:rPr>
      </w:pPr>
      <w:r w:rsidRPr="10040D48">
        <w:rPr>
          <w:rFonts w:eastAsia="Arial" w:cs="Arial"/>
          <w:szCs w:val="20"/>
          <w:u w:val="single"/>
        </w:rPr>
        <w:lastRenderedPageBreak/>
        <w:t>Obrazložitev</w:t>
      </w:r>
      <w:r w:rsidRPr="00D82F16">
        <w:rPr>
          <w:rFonts w:eastAsia="Arial" w:cs="Arial"/>
          <w:szCs w:val="20"/>
        </w:rPr>
        <w:t>: Spremembe vrednosti posameznega področja ukrepanja so nastale zaradi spremenjenih dejstev kot je prenos za namene STEP.</w:t>
      </w:r>
    </w:p>
    <w:p w14:paraId="308ABCEE" w14:textId="30186C54" w:rsidR="10040D48" w:rsidRDefault="10040D48"/>
    <w:p w14:paraId="5B795157" w14:textId="74B7B6AC" w:rsidR="10040D48" w:rsidRDefault="10040D48" w:rsidP="10040D48">
      <w:pPr>
        <w:sectPr w:rsidR="10040D48" w:rsidSect="002048B8">
          <w:pgSz w:w="11906" w:h="16838"/>
          <w:pgMar w:top="1417" w:right="1417" w:bottom="1417" w:left="1417" w:header="708" w:footer="708" w:gutter="0"/>
          <w:cols w:space="708"/>
          <w:docGrid w:linePitch="360"/>
        </w:sectPr>
      </w:pPr>
    </w:p>
    <w:p w14:paraId="61BBA415" w14:textId="32225689" w:rsidR="00E35901" w:rsidRPr="00DD52C8" w:rsidRDefault="00E35901" w:rsidP="00446D40">
      <w:pPr>
        <w:pStyle w:val="Naslov3"/>
        <w:numPr>
          <w:ilvl w:val="2"/>
          <w:numId w:val="2"/>
        </w:numPr>
        <w:rPr>
          <w:color w:val="4472C4" w:themeColor="accent1"/>
        </w:rPr>
      </w:pPr>
      <w:bookmarkStart w:id="75" w:name="_Toc191383862"/>
      <w:r w:rsidRPr="5703D327">
        <w:rPr>
          <w:color w:val="4472C4" w:themeColor="accent1"/>
        </w:rPr>
        <w:lastRenderedPageBreak/>
        <w:t>Nov specifični cilj RSO 1.6 Razvoj ali proizvodnja kritičnih tehnologij</w:t>
      </w:r>
      <w:bookmarkEnd w:id="75"/>
    </w:p>
    <w:p w14:paraId="16B61120" w14:textId="77777777" w:rsidR="00E35901" w:rsidRDefault="00E35901" w:rsidP="00302615">
      <w:pPr>
        <w:pStyle w:val="Brezrazmikov"/>
      </w:pPr>
    </w:p>
    <w:p w14:paraId="238393B8" w14:textId="7668E88F" w:rsidR="00FE6223" w:rsidRDefault="00E35901" w:rsidP="00DD52C8">
      <w:pPr>
        <w:pStyle w:val="Brezrazmikov"/>
      </w:pPr>
      <w:r>
        <w:t>Dodan nov specifičen cilj z nazivom »</w:t>
      </w:r>
      <w:r w:rsidRPr="59322637">
        <w:t>RSO 1.6 Razvoj ali proizvodnja kritičnih tehnologij</w:t>
      </w:r>
      <w:r>
        <w:t xml:space="preserve">«. </w:t>
      </w:r>
    </w:p>
    <w:p w14:paraId="67369C61" w14:textId="77777777" w:rsidR="004812BE" w:rsidRDefault="004812BE" w:rsidP="004812BE">
      <w:pPr>
        <w:pStyle w:val="Napis"/>
        <w:keepNext/>
        <w:spacing w:after="0"/>
      </w:pPr>
    </w:p>
    <w:p w14:paraId="7A7A5134" w14:textId="2378CE57" w:rsidR="004812BE" w:rsidRPr="00F67098" w:rsidRDefault="004812BE" w:rsidP="004812BE">
      <w:pPr>
        <w:pStyle w:val="Napis"/>
        <w:keepNext/>
        <w:spacing w:after="0"/>
        <w:rPr>
          <w:i w:val="0"/>
          <w:iCs w:val="0"/>
          <w:color w:val="auto"/>
          <w:sz w:val="20"/>
          <w:szCs w:val="20"/>
        </w:rPr>
      </w:pPr>
      <w:bookmarkStart w:id="76" w:name="_Toc191459958"/>
      <w:r w:rsidRPr="00F67098">
        <w:rPr>
          <w:i w:val="0"/>
          <w:iCs w:val="0"/>
          <w:color w:val="auto"/>
          <w:sz w:val="20"/>
          <w:szCs w:val="20"/>
        </w:rPr>
        <w:t xml:space="preserve">Tabela </w:t>
      </w:r>
      <w:r w:rsidRPr="00F67098">
        <w:rPr>
          <w:i w:val="0"/>
          <w:iCs w:val="0"/>
          <w:color w:val="auto"/>
          <w:sz w:val="20"/>
          <w:szCs w:val="20"/>
        </w:rPr>
        <w:fldChar w:fldCharType="begin"/>
      </w:r>
      <w:r w:rsidRPr="00F67098">
        <w:rPr>
          <w:i w:val="0"/>
          <w:iCs w:val="0"/>
          <w:color w:val="auto"/>
          <w:sz w:val="20"/>
          <w:szCs w:val="20"/>
        </w:rPr>
        <w:instrText xml:space="preserve"> SEQ Tabela \* ARABIC </w:instrText>
      </w:r>
      <w:r w:rsidRPr="00F67098">
        <w:rPr>
          <w:i w:val="0"/>
          <w:iCs w:val="0"/>
          <w:color w:val="auto"/>
          <w:sz w:val="20"/>
          <w:szCs w:val="20"/>
        </w:rPr>
        <w:fldChar w:fldCharType="separate"/>
      </w:r>
      <w:r w:rsidR="00784805">
        <w:rPr>
          <w:i w:val="0"/>
          <w:iCs w:val="0"/>
          <w:noProof/>
          <w:color w:val="auto"/>
          <w:sz w:val="20"/>
          <w:szCs w:val="20"/>
        </w:rPr>
        <w:t>14</w:t>
      </w:r>
      <w:r w:rsidRPr="00F67098">
        <w:rPr>
          <w:i w:val="0"/>
          <w:iCs w:val="0"/>
          <w:color w:val="auto"/>
          <w:sz w:val="20"/>
          <w:szCs w:val="20"/>
        </w:rPr>
        <w:fldChar w:fldCharType="end"/>
      </w:r>
      <w:r w:rsidRPr="00F67098">
        <w:rPr>
          <w:i w:val="0"/>
          <w:iCs w:val="0"/>
          <w:color w:val="auto"/>
          <w:sz w:val="20"/>
          <w:szCs w:val="20"/>
        </w:rPr>
        <w:t>: Identificirani možni kazalci učinka</w:t>
      </w:r>
      <w:bookmarkEnd w:id="76"/>
    </w:p>
    <w:p w14:paraId="2E70DE7C" w14:textId="77777777" w:rsidR="004812BE" w:rsidRPr="004812BE" w:rsidRDefault="004812BE" w:rsidP="004812BE">
      <w:pPr>
        <w:spacing w:after="0"/>
      </w:pPr>
    </w:p>
    <w:tbl>
      <w:tblPr>
        <w:tblStyle w:val="Tabelamrea1"/>
        <w:tblW w:w="13580" w:type="dxa"/>
        <w:tblInd w:w="-5" w:type="dxa"/>
        <w:tblLayout w:type="fixed"/>
        <w:tblLook w:val="04A0" w:firstRow="1" w:lastRow="0" w:firstColumn="1" w:lastColumn="0" w:noHBand="0" w:noVBand="1"/>
      </w:tblPr>
      <w:tblGrid>
        <w:gridCol w:w="1251"/>
        <w:gridCol w:w="1839"/>
        <w:gridCol w:w="1134"/>
        <w:gridCol w:w="2977"/>
        <w:gridCol w:w="1276"/>
        <w:gridCol w:w="141"/>
        <w:gridCol w:w="1134"/>
        <w:gridCol w:w="3828"/>
      </w:tblGrid>
      <w:tr w:rsidR="008A3796" w:rsidRPr="00FE5518" w14:paraId="4EB74FDC" w14:textId="77777777" w:rsidTr="006059E7">
        <w:trPr>
          <w:trHeight w:val="300"/>
        </w:trPr>
        <w:tc>
          <w:tcPr>
            <w:tcW w:w="1251" w:type="dxa"/>
            <w:shd w:val="clear" w:color="auto" w:fill="D9E2F3" w:themeFill="accent1" w:themeFillTint="33"/>
          </w:tcPr>
          <w:p w14:paraId="5885201D" w14:textId="77777777" w:rsidR="0011459E" w:rsidRPr="00FE5518" w:rsidRDefault="0011459E" w:rsidP="0011459E">
            <w:pPr>
              <w:rPr>
                <w:rFonts w:eastAsia="Times New Roman" w:cs="Arial"/>
              </w:rPr>
            </w:pPr>
            <w:r w:rsidRPr="00FE5518">
              <w:rPr>
                <w:rFonts w:eastAsia="Times New Roman" w:cs="Arial"/>
              </w:rPr>
              <w:t>Sklad</w:t>
            </w:r>
          </w:p>
        </w:tc>
        <w:tc>
          <w:tcPr>
            <w:tcW w:w="1839" w:type="dxa"/>
            <w:shd w:val="clear" w:color="auto" w:fill="D9E2F3" w:themeFill="accent1" w:themeFillTint="33"/>
          </w:tcPr>
          <w:p w14:paraId="062DEF9A" w14:textId="77777777" w:rsidR="0011459E" w:rsidRPr="00FE5518" w:rsidRDefault="0011459E" w:rsidP="0011459E">
            <w:pPr>
              <w:rPr>
                <w:rFonts w:eastAsia="Times New Roman" w:cs="Arial"/>
              </w:rPr>
            </w:pPr>
            <w:r w:rsidRPr="00FE5518">
              <w:rPr>
                <w:rFonts w:eastAsia="Times New Roman" w:cs="Arial"/>
              </w:rPr>
              <w:t>Kategorija regije</w:t>
            </w:r>
          </w:p>
        </w:tc>
        <w:tc>
          <w:tcPr>
            <w:tcW w:w="1134" w:type="dxa"/>
            <w:shd w:val="clear" w:color="auto" w:fill="D9E2F3" w:themeFill="accent1" w:themeFillTint="33"/>
          </w:tcPr>
          <w:p w14:paraId="2B4D8C1D" w14:textId="77777777" w:rsidR="0011459E" w:rsidRPr="00FE5518" w:rsidRDefault="0011459E" w:rsidP="0011459E">
            <w:pPr>
              <w:rPr>
                <w:rFonts w:eastAsia="Times New Roman" w:cs="Arial"/>
              </w:rPr>
            </w:pPr>
            <w:r w:rsidRPr="00FE5518">
              <w:rPr>
                <w:rFonts w:eastAsia="Times New Roman" w:cs="Arial"/>
              </w:rPr>
              <w:t>ID</w:t>
            </w:r>
          </w:p>
        </w:tc>
        <w:tc>
          <w:tcPr>
            <w:tcW w:w="2977" w:type="dxa"/>
            <w:shd w:val="clear" w:color="auto" w:fill="D9E2F3" w:themeFill="accent1" w:themeFillTint="33"/>
          </w:tcPr>
          <w:p w14:paraId="5904EB9B" w14:textId="77777777" w:rsidR="0011459E" w:rsidRPr="00FE5518" w:rsidRDefault="0011459E" w:rsidP="0011459E">
            <w:pPr>
              <w:rPr>
                <w:rFonts w:eastAsia="Times New Roman" w:cs="Arial"/>
              </w:rPr>
            </w:pPr>
            <w:r w:rsidRPr="00FE5518">
              <w:rPr>
                <w:rFonts w:eastAsia="Times New Roman" w:cs="Arial"/>
              </w:rPr>
              <w:t>Kazalniki</w:t>
            </w:r>
          </w:p>
        </w:tc>
        <w:tc>
          <w:tcPr>
            <w:tcW w:w="1276" w:type="dxa"/>
            <w:shd w:val="clear" w:color="auto" w:fill="D9E2F3" w:themeFill="accent1" w:themeFillTint="33"/>
          </w:tcPr>
          <w:p w14:paraId="2CCF868E" w14:textId="77777777" w:rsidR="0011459E" w:rsidRPr="00FE5518" w:rsidRDefault="0011459E" w:rsidP="0011459E">
            <w:pPr>
              <w:rPr>
                <w:rFonts w:eastAsia="Times New Roman" w:cs="Arial"/>
              </w:rPr>
            </w:pPr>
            <w:r w:rsidRPr="00FE5518">
              <w:rPr>
                <w:rFonts w:eastAsia="Times New Roman" w:cs="Arial"/>
              </w:rPr>
              <w:t>Merska enota</w:t>
            </w:r>
          </w:p>
        </w:tc>
        <w:tc>
          <w:tcPr>
            <w:tcW w:w="1275" w:type="dxa"/>
            <w:gridSpan w:val="2"/>
            <w:shd w:val="clear" w:color="auto" w:fill="D9E2F3" w:themeFill="accent1" w:themeFillTint="33"/>
          </w:tcPr>
          <w:p w14:paraId="3069C8FB" w14:textId="77777777" w:rsidR="0011459E" w:rsidRPr="00FE5518" w:rsidRDefault="0011459E" w:rsidP="0011459E">
            <w:pPr>
              <w:rPr>
                <w:rFonts w:eastAsia="Times New Roman" w:cs="Arial"/>
              </w:rPr>
            </w:pPr>
            <w:r w:rsidRPr="00FE5518">
              <w:rPr>
                <w:rFonts w:eastAsia="Times New Roman" w:cs="Arial"/>
              </w:rPr>
              <w:t xml:space="preserve">Mejnik </w:t>
            </w:r>
          </w:p>
        </w:tc>
        <w:tc>
          <w:tcPr>
            <w:tcW w:w="3828" w:type="dxa"/>
            <w:shd w:val="clear" w:color="auto" w:fill="D9E2F3" w:themeFill="accent1" w:themeFillTint="33"/>
          </w:tcPr>
          <w:p w14:paraId="65502564" w14:textId="77777777" w:rsidR="0011459E" w:rsidRPr="00FE5518" w:rsidRDefault="0011459E" w:rsidP="0011459E">
            <w:pPr>
              <w:rPr>
                <w:rFonts w:eastAsia="Times New Roman" w:cs="Arial"/>
              </w:rPr>
            </w:pPr>
            <w:r w:rsidRPr="00FE5518">
              <w:rPr>
                <w:rFonts w:eastAsia="Times New Roman" w:cs="Arial"/>
              </w:rPr>
              <w:t>Cilj (2029)</w:t>
            </w:r>
          </w:p>
        </w:tc>
      </w:tr>
      <w:tr w:rsidR="0048726D" w:rsidRPr="00FE5518" w14:paraId="349266B2" w14:textId="77777777" w:rsidTr="006059E7">
        <w:trPr>
          <w:trHeight w:val="300"/>
        </w:trPr>
        <w:tc>
          <w:tcPr>
            <w:tcW w:w="1246" w:type="dxa"/>
          </w:tcPr>
          <w:p w14:paraId="5B79E035" w14:textId="77777777" w:rsidR="0048726D" w:rsidRPr="00FE5518" w:rsidRDefault="0048726D" w:rsidP="00F545BB">
            <w:pPr>
              <w:rPr>
                <w:rFonts w:eastAsia="Times New Roman" w:cs="Arial"/>
              </w:rPr>
            </w:pPr>
            <w:r>
              <w:rPr>
                <w:rFonts w:eastAsia="Times New Roman" w:cs="Arial"/>
              </w:rPr>
              <w:t>ESRR</w:t>
            </w:r>
          </w:p>
        </w:tc>
        <w:tc>
          <w:tcPr>
            <w:tcW w:w="1839" w:type="dxa"/>
          </w:tcPr>
          <w:p w14:paraId="6D9B391B" w14:textId="77777777" w:rsidR="0048726D" w:rsidRPr="00FE5518" w:rsidRDefault="0048726D" w:rsidP="00F545BB">
            <w:pPr>
              <w:rPr>
                <w:rFonts w:eastAsia="Times New Roman" w:cs="Arial"/>
              </w:rPr>
            </w:pPr>
            <w:r>
              <w:rPr>
                <w:rFonts w:eastAsia="Times New Roman" w:cs="Arial"/>
              </w:rPr>
              <w:t>Manj razvite regije</w:t>
            </w:r>
          </w:p>
        </w:tc>
        <w:tc>
          <w:tcPr>
            <w:tcW w:w="1134" w:type="dxa"/>
          </w:tcPr>
          <w:p w14:paraId="76EAA835" w14:textId="77777777" w:rsidR="0048726D" w:rsidRPr="00FE5518" w:rsidRDefault="0048726D" w:rsidP="00F545BB">
            <w:pPr>
              <w:rPr>
                <w:rFonts w:eastAsia="Times New Roman" w:cs="Arial"/>
              </w:rPr>
            </w:pPr>
            <w:r>
              <w:rPr>
                <w:rFonts w:eastAsia="Times New Roman" w:cs="Arial"/>
              </w:rPr>
              <w:t>RCO 01</w:t>
            </w:r>
          </w:p>
        </w:tc>
        <w:tc>
          <w:tcPr>
            <w:tcW w:w="2977" w:type="dxa"/>
          </w:tcPr>
          <w:p w14:paraId="2343EC92" w14:textId="77777777" w:rsidR="0048726D" w:rsidRPr="00FE5518" w:rsidRDefault="0048726D" w:rsidP="00F545BB">
            <w:pPr>
              <w:jc w:val="both"/>
              <w:rPr>
                <w:rFonts w:eastAsia="Times New Roman" w:cs="Arial"/>
              </w:rPr>
            </w:pPr>
            <w:r w:rsidRPr="00B37034">
              <w:rPr>
                <w:rFonts w:eastAsia="Times New Roman" w:cs="Arial"/>
              </w:rPr>
              <w:t xml:space="preserve">Podprta podjetja (od tega: </w:t>
            </w:r>
            <w:proofErr w:type="spellStart"/>
            <w:r w:rsidRPr="00B37034">
              <w:rPr>
                <w:rFonts w:eastAsia="Times New Roman" w:cs="Arial"/>
              </w:rPr>
              <w:t>mikro</w:t>
            </w:r>
            <w:proofErr w:type="spellEnd"/>
            <w:r w:rsidRPr="00B37034">
              <w:rPr>
                <w:rFonts w:eastAsia="Times New Roman" w:cs="Arial"/>
              </w:rPr>
              <w:t>, mala, srednja, velika)</w:t>
            </w:r>
          </w:p>
        </w:tc>
        <w:tc>
          <w:tcPr>
            <w:tcW w:w="1417" w:type="dxa"/>
            <w:gridSpan w:val="2"/>
          </w:tcPr>
          <w:p w14:paraId="7FD7657E" w14:textId="77777777" w:rsidR="0048726D" w:rsidRPr="00FE5518" w:rsidRDefault="0048726D" w:rsidP="00F545BB">
            <w:pPr>
              <w:rPr>
                <w:rFonts w:eastAsia="Times New Roman" w:cs="Arial"/>
              </w:rPr>
            </w:pPr>
            <w:r>
              <w:rPr>
                <w:rFonts w:eastAsia="Times New Roman" w:cs="Arial"/>
              </w:rPr>
              <w:t>podjetja</w:t>
            </w:r>
          </w:p>
        </w:tc>
        <w:tc>
          <w:tcPr>
            <w:tcW w:w="1134" w:type="dxa"/>
          </w:tcPr>
          <w:p w14:paraId="055D856B" w14:textId="77777777" w:rsidR="0048726D" w:rsidRPr="00FE5518" w:rsidRDefault="0048726D" w:rsidP="00F545BB">
            <w:pPr>
              <w:rPr>
                <w:rFonts w:eastAsia="Times New Roman" w:cs="Arial"/>
              </w:rPr>
            </w:pPr>
            <w:r>
              <w:rPr>
                <w:rFonts w:eastAsia="Times New Roman" w:cs="Arial"/>
              </w:rPr>
              <w:t>/</w:t>
            </w:r>
          </w:p>
        </w:tc>
        <w:tc>
          <w:tcPr>
            <w:tcW w:w="3828" w:type="dxa"/>
          </w:tcPr>
          <w:p w14:paraId="6FD40A0C" w14:textId="77777777" w:rsidR="0048726D" w:rsidRPr="00FE5518" w:rsidRDefault="0048726D" w:rsidP="00F545BB">
            <w:pPr>
              <w:rPr>
                <w:rFonts w:eastAsia="Times New Roman" w:cs="Arial"/>
              </w:rPr>
            </w:pPr>
            <w:r>
              <w:rPr>
                <w:rFonts w:eastAsia="Times New Roman" w:cs="Arial"/>
              </w:rPr>
              <w:t>37</w:t>
            </w:r>
          </w:p>
        </w:tc>
      </w:tr>
      <w:tr w:rsidR="0048726D" w:rsidRPr="00B37034" w14:paraId="144D6BE0" w14:textId="77777777" w:rsidTr="006059E7">
        <w:trPr>
          <w:trHeight w:val="300"/>
        </w:trPr>
        <w:tc>
          <w:tcPr>
            <w:tcW w:w="1246" w:type="dxa"/>
          </w:tcPr>
          <w:p w14:paraId="6F7A89B6" w14:textId="77777777" w:rsidR="0048726D" w:rsidRPr="00B37034" w:rsidRDefault="0048726D" w:rsidP="00F545BB">
            <w:pPr>
              <w:rPr>
                <w:rFonts w:eastAsia="Times New Roman" w:cs="Arial"/>
              </w:rPr>
            </w:pPr>
            <w:r w:rsidRPr="00B37034">
              <w:rPr>
                <w:rFonts w:eastAsia="Times New Roman" w:cs="Arial"/>
              </w:rPr>
              <w:t>ESRR</w:t>
            </w:r>
          </w:p>
        </w:tc>
        <w:tc>
          <w:tcPr>
            <w:tcW w:w="1839" w:type="dxa"/>
          </w:tcPr>
          <w:p w14:paraId="4B01FD28" w14:textId="77777777" w:rsidR="0048726D" w:rsidRPr="00B37034" w:rsidRDefault="0048726D" w:rsidP="00F545BB">
            <w:pPr>
              <w:rPr>
                <w:rFonts w:eastAsia="Times New Roman" w:cs="Arial"/>
              </w:rPr>
            </w:pPr>
            <w:r w:rsidRPr="00B37034">
              <w:rPr>
                <w:rFonts w:eastAsia="Times New Roman" w:cs="Arial"/>
              </w:rPr>
              <w:t>Bolj razvite regije</w:t>
            </w:r>
          </w:p>
        </w:tc>
        <w:tc>
          <w:tcPr>
            <w:tcW w:w="1134" w:type="dxa"/>
          </w:tcPr>
          <w:p w14:paraId="2659D30E" w14:textId="77777777" w:rsidR="0048726D" w:rsidRPr="00B37034" w:rsidRDefault="0048726D" w:rsidP="00F545BB">
            <w:pPr>
              <w:rPr>
                <w:rFonts w:eastAsia="Times New Roman" w:cs="Arial"/>
              </w:rPr>
            </w:pPr>
            <w:r w:rsidRPr="00B37034">
              <w:rPr>
                <w:rFonts w:eastAsia="Times New Roman" w:cs="Arial"/>
              </w:rPr>
              <w:t>RCO 01</w:t>
            </w:r>
          </w:p>
        </w:tc>
        <w:tc>
          <w:tcPr>
            <w:tcW w:w="2977" w:type="dxa"/>
          </w:tcPr>
          <w:p w14:paraId="5F028CA9" w14:textId="77777777" w:rsidR="0048726D" w:rsidRPr="00B37034" w:rsidRDefault="0048726D" w:rsidP="00F545BB">
            <w:pPr>
              <w:jc w:val="both"/>
              <w:rPr>
                <w:rFonts w:eastAsia="Times New Roman" w:cs="Arial"/>
              </w:rPr>
            </w:pPr>
            <w:r w:rsidRPr="00B37034">
              <w:rPr>
                <w:rFonts w:eastAsia="Times New Roman" w:cs="Arial"/>
              </w:rPr>
              <w:t xml:space="preserve">Podprta podjetja (od tega: </w:t>
            </w:r>
            <w:proofErr w:type="spellStart"/>
            <w:r w:rsidRPr="00B37034">
              <w:rPr>
                <w:rFonts w:eastAsia="Times New Roman" w:cs="Arial"/>
              </w:rPr>
              <w:t>mikro</w:t>
            </w:r>
            <w:proofErr w:type="spellEnd"/>
            <w:r w:rsidRPr="00B37034">
              <w:rPr>
                <w:rFonts w:eastAsia="Times New Roman" w:cs="Arial"/>
              </w:rPr>
              <w:t>, mala, srednja, velika)</w:t>
            </w:r>
          </w:p>
        </w:tc>
        <w:tc>
          <w:tcPr>
            <w:tcW w:w="1417" w:type="dxa"/>
            <w:gridSpan w:val="2"/>
          </w:tcPr>
          <w:p w14:paraId="7FDB21A8" w14:textId="77777777" w:rsidR="0048726D" w:rsidRPr="00B37034" w:rsidRDefault="0048726D" w:rsidP="00F545BB">
            <w:pPr>
              <w:rPr>
                <w:rFonts w:eastAsia="Times New Roman" w:cs="Arial"/>
              </w:rPr>
            </w:pPr>
            <w:r w:rsidRPr="00B37034">
              <w:rPr>
                <w:rFonts w:eastAsia="Times New Roman" w:cs="Arial"/>
              </w:rPr>
              <w:t>podjetja</w:t>
            </w:r>
          </w:p>
        </w:tc>
        <w:tc>
          <w:tcPr>
            <w:tcW w:w="1134" w:type="dxa"/>
          </w:tcPr>
          <w:p w14:paraId="14A72A50" w14:textId="77777777" w:rsidR="0048726D" w:rsidRPr="00B37034" w:rsidRDefault="0048726D" w:rsidP="00F545BB">
            <w:pPr>
              <w:rPr>
                <w:rFonts w:eastAsia="Times New Roman" w:cs="Arial"/>
              </w:rPr>
            </w:pPr>
            <w:r w:rsidRPr="00B37034">
              <w:rPr>
                <w:rFonts w:eastAsia="Times New Roman" w:cs="Arial"/>
              </w:rPr>
              <w:t>/</w:t>
            </w:r>
          </w:p>
        </w:tc>
        <w:tc>
          <w:tcPr>
            <w:tcW w:w="3828" w:type="dxa"/>
          </w:tcPr>
          <w:p w14:paraId="6C0EF156" w14:textId="77777777" w:rsidR="0048726D" w:rsidRPr="00B37034" w:rsidRDefault="0048726D" w:rsidP="00F545BB">
            <w:pPr>
              <w:rPr>
                <w:rFonts w:eastAsia="Times New Roman" w:cs="Arial"/>
              </w:rPr>
            </w:pPr>
            <w:r w:rsidRPr="00B37034">
              <w:rPr>
                <w:rFonts w:eastAsia="Times New Roman" w:cs="Arial"/>
              </w:rPr>
              <w:t>19</w:t>
            </w:r>
          </w:p>
        </w:tc>
      </w:tr>
      <w:tr w:rsidR="0048726D" w:rsidRPr="00FE5518" w14:paraId="4809CA1C" w14:textId="77777777" w:rsidTr="006059E7">
        <w:trPr>
          <w:trHeight w:val="300"/>
        </w:trPr>
        <w:tc>
          <w:tcPr>
            <w:tcW w:w="1246" w:type="dxa"/>
          </w:tcPr>
          <w:p w14:paraId="79303F1F" w14:textId="77777777" w:rsidR="0048726D" w:rsidRPr="00FE5518" w:rsidRDefault="0048726D" w:rsidP="00F545BB">
            <w:pPr>
              <w:rPr>
                <w:rFonts w:eastAsia="Times New Roman" w:cs="Arial"/>
              </w:rPr>
            </w:pPr>
            <w:r>
              <w:rPr>
                <w:rFonts w:eastAsia="Times New Roman" w:cs="Arial"/>
              </w:rPr>
              <w:t>ESRR</w:t>
            </w:r>
          </w:p>
        </w:tc>
        <w:tc>
          <w:tcPr>
            <w:tcW w:w="1839" w:type="dxa"/>
          </w:tcPr>
          <w:p w14:paraId="4AF284CB" w14:textId="77777777" w:rsidR="0048726D" w:rsidRPr="00FE5518" w:rsidRDefault="0048726D" w:rsidP="00F545BB">
            <w:pPr>
              <w:rPr>
                <w:rFonts w:eastAsia="Times New Roman" w:cs="Arial"/>
              </w:rPr>
            </w:pPr>
            <w:r w:rsidRPr="00B37034">
              <w:rPr>
                <w:rFonts w:eastAsia="Times New Roman" w:cs="Arial"/>
              </w:rPr>
              <w:t>Manj razvite regije</w:t>
            </w:r>
          </w:p>
        </w:tc>
        <w:tc>
          <w:tcPr>
            <w:tcW w:w="1134" w:type="dxa"/>
          </w:tcPr>
          <w:p w14:paraId="54DD3563" w14:textId="77777777" w:rsidR="0048726D" w:rsidRPr="00FE5518" w:rsidRDefault="0048726D" w:rsidP="00F545BB">
            <w:pPr>
              <w:rPr>
                <w:rFonts w:eastAsia="Times New Roman" w:cs="Arial"/>
              </w:rPr>
            </w:pPr>
            <w:r>
              <w:rPr>
                <w:rFonts w:eastAsia="Times New Roman" w:cs="Arial"/>
              </w:rPr>
              <w:t>RCO 02</w:t>
            </w:r>
          </w:p>
        </w:tc>
        <w:tc>
          <w:tcPr>
            <w:tcW w:w="2977" w:type="dxa"/>
          </w:tcPr>
          <w:p w14:paraId="45560868" w14:textId="77777777" w:rsidR="0048726D" w:rsidRPr="00FE5518" w:rsidRDefault="0048726D" w:rsidP="00F545BB">
            <w:pPr>
              <w:jc w:val="both"/>
              <w:rPr>
                <w:rFonts w:eastAsia="Times New Roman" w:cs="Arial"/>
              </w:rPr>
            </w:pPr>
            <w:r w:rsidRPr="00B37034">
              <w:rPr>
                <w:rFonts w:eastAsia="Times New Roman" w:cs="Arial"/>
              </w:rPr>
              <w:t>Podjetja, podprta z nepovratnimi sredstvi</w:t>
            </w:r>
          </w:p>
        </w:tc>
        <w:tc>
          <w:tcPr>
            <w:tcW w:w="1417" w:type="dxa"/>
            <w:gridSpan w:val="2"/>
          </w:tcPr>
          <w:p w14:paraId="108D57C6" w14:textId="77777777" w:rsidR="0048726D" w:rsidRPr="00FE5518" w:rsidRDefault="0048726D" w:rsidP="00F545BB">
            <w:pPr>
              <w:rPr>
                <w:rFonts w:eastAsia="Times New Roman" w:cs="Arial"/>
              </w:rPr>
            </w:pPr>
            <w:r>
              <w:rPr>
                <w:rFonts w:eastAsia="Times New Roman" w:cs="Arial"/>
              </w:rPr>
              <w:t>podjetja</w:t>
            </w:r>
          </w:p>
        </w:tc>
        <w:tc>
          <w:tcPr>
            <w:tcW w:w="1134" w:type="dxa"/>
          </w:tcPr>
          <w:p w14:paraId="196D002D" w14:textId="77777777" w:rsidR="0048726D" w:rsidRPr="00FE5518" w:rsidRDefault="0048726D" w:rsidP="00F545BB">
            <w:pPr>
              <w:rPr>
                <w:rFonts w:eastAsia="Times New Roman" w:cs="Arial"/>
              </w:rPr>
            </w:pPr>
            <w:r>
              <w:rPr>
                <w:rFonts w:eastAsia="Times New Roman" w:cs="Arial"/>
              </w:rPr>
              <w:t>/</w:t>
            </w:r>
          </w:p>
        </w:tc>
        <w:tc>
          <w:tcPr>
            <w:tcW w:w="3828" w:type="dxa"/>
          </w:tcPr>
          <w:p w14:paraId="05AC8F80" w14:textId="77777777" w:rsidR="0048726D" w:rsidRPr="00FE5518" w:rsidRDefault="0048726D" w:rsidP="00F545BB">
            <w:pPr>
              <w:rPr>
                <w:rFonts w:eastAsia="Times New Roman" w:cs="Arial"/>
              </w:rPr>
            </w:pPr>
            <w:r>
              <w:rPr>
                <w:rFonts w:eastAsia="Times New Roman" w:cs="Arial"/>
              </w:rPr>
              <w:t>37</w:t>
            </w:r>
          </w:p>
        </w:tc>
      </w:tr>
      <w:tr w:rsidR="0048726D" w:rsidRPr="00FE5518" w14:paraId="12D95FCD" w14:textId="77777777" w:rsidTr="006059E7">
        <w:trPr>
          <w:trHeight w:val="300"/>
        </w:trPr>
        <w:tc>
          <w:tcPr>
            <w:tcW w:w="1246" w:type="dxa"/>
          </w:tcPr>
          <w:p w14:paraId="3A9B7F3F" w14:textId="77777777" w:rsidR="0048726D" w:rsidRPr="00FE5518" w:rsidRDefault="0048726D" w:rsidP="00F545BB">
            <w:pPr>
              <w:rPr>
                <w:rFonts w:eastAsia="Times New Roman" w:cs="Arial"/>
              </w:rPr>
            </w:pPr>
            <w:r w:rsidRPr="00FE5518">
              <w:rPr>
                <w:rFonts w:eastAsia="Times New Roman" w:cs="Arial"/>
              </w:rPr>
              <w:t>ESRR</w:t>
            </w:r>
          </w:p>
        </w:tc>
        <w:tc>
          <w:tcPr>
            <w:tcW w:w="1839" w:type="dxa"/>
          </w:tcPr>
          <w:p w14:paraId="7A6D5D03" w14:textId="77777777" w:rsidR="0048726D" w:rsidRPr="00FE5518" w:rsidRDefault="0048726D" w:rsidP="00F545BB">
            <w:pPr>
              <w:rPr>
                <w:rFonts w:eastAsia="Times New Roman" w:cs="Arial"/>
              </w:rPr>
            </w:pPr>
            <w:r w:rsidRPr="00FE5518">
              <w:rPr>
                <w:rFonts w:eastAsia="Times New Roman" w:cs="Arial"/>
              </w:rPr>
              <w:t>Bolj razvite regije</w:t>
            </w:r>
          </w:p>
        </w:tc>
        <w:tc>
          <w:tcPr>
            <w:tcW w:w="1134" w:type="dxa"/>
          </w:tcPr>
          <w:p w14:paraId="50964715" w14:textId="77777777" w:rsidR="0048726D" w:rsidRPr="00FE5518" w:rsidRDefault="0048726D" w:rsidP="00F545BB">
            <w:pPr>
              <w:rPr>
                <w:rFonts w:eastAsia="Times New Roman" w:cs="Arial"/>
              </w:rPr>
            </w:pPr>
            <w:r w:rsidRPr="00FE5518">
              <w:rPr>
                <w:rFonts w:eastAsia="Times New Roman" w:cs="Arial"/>
              </w:rPr>
              <w:t>RCO 02</w:t>
            </w:r>
          </w:p>
        </w:tc>
        <w:tc>
          <w:tcPr>
            <w:tcW w:w="2977" w:type="dxa"/>
          </w:tcPr>
          <w:p w14:paraId="3031C85F" w14:textId="77777777" w:rsidR="0048726D" w:rsidRPr="00FE5518" w:rsidRDefault="0048726D" w:rsidP="00F545BB">
            <w:pPr>
              <w:jc w:val="both"/>
              <w:rPr>
                <w:rFonts w:eastAsia="Times New Roman" w:cs="Arial"/>
              </w:rPr>
            </w:pPr>
            <w:r w:rsidRPr="00FE5518">
              <w:rPr>
                <w:rFonts w:eastAsia="Times New Roman" w:cs="Arial"/>
              </w:rPr>
              <w:t>Podjetja, podprta z nepovratnimi sredstvi</w:t>
            </w:r>
          </w:p>
        </w:tc>
        <w:tc>
          <w:tcPr>
            <w:tcW w:w="1417" w:type="dxa"/>
            <w:gridSpan w:val="2"/>
          </w:tcPr>
          <w:p w14:paraId="00E0B2E4" w14:textId="77777777" w:rsidR="0048726D" w:rsidRPr="00FE5518" w:rsidRDefault="0048726D" w:rsidP="00F545BB">
            <w:pPr>
              <w:rPr>
                <w:rFonts w:eastAsia="Times New Roman" w:cs="Arial"/>
              </w:rPr>
            </w:pPr>
            <w:r w:rsidRPr="00FE5518">
              <w:rPr>
                <w:rFonts w:eastAsia="Times New Roman" w:cs="Arial"/>
              </w:rPr>
              <w:t>podjetja</w:t>
            </w:r>
          </w:p>
        </w:tc>
        <w:tc>
          <w:tcPr>
            <w:tcW w:w="1134" w:type="dxa"/>
          </w:tcPr>
          <w:p w14:paraId="473B8827" w14:textId="77777777" w:rsidR="0048726D" w:rsidRPr="00FE5518" w:rsidRDefault="0048726D" w:rsidP="00F545BB">
            <w:pPr>
              <w:rPr>
                <w:rFonts w:eastAsia="Times New Roman" w:cs="Arial"/>
              </w:rPr>
            </w:pPr>
            <w:r w:rsidRPr="00FE5518">
              <w:rPr>
                <w:rFonts w:eastAsia="Times New Roman" w:cs="Arial"/>
              </w:rPr>
              <w:t>/</w:t>
            </w:r>
          </w:p>
        </w:tc>
        <w:tc>
          <w:tcPr>
            <w:tcW w:w="3828" w:type="dxa"/>
          </w:tcPr>
          <w:p w14:paraId="51E32A44" w14:textId="77777777" w:rsidR="0048726D" w:rsidRPr="00FE5518" w:rsidRDefault="0048726D" w:rsidP="00F545BB">
            <w:pPr>
              <w:rPr>
                <w:rFonts w:eastAsia="Times New Roman" w:cs="Arial"/>
              </w:rPr>
            </w:pPr>
            <w:r>
              <w:rPr>
                <w:rFonts w:eastAsia="Times New Roman" w:cs="Arial"/>
              </w:rPr>
              <w:t>19</w:t>
            </w:r>
          </w:p>
        </w:tc>
      </w:tr>
      <w:tr w:rsidR="0048726D" w14:paraId="6DD8C7D7" w14:textId="77777777" w:rsidTr="006059E7">
        <w:trPr>
          <w:trHeight w:val="300"/>
        </w:trPr>
        <w:tc>
          <w:tcPr>
            <w:tcW w:w="1246" w:type="dxa"/>
          </w:tcPr>
          <w:p w14:paraId="1C19E7E2" w14:textId="77777777" w:rsidR="0048726D" w:rsidRPr="00FE5518" w:rsidRDefault="0048726D" w:rsidP="00F545BB">
            <w:pPr>
              <w:rPr>
                <w:rFonts w:eastAsia="Times New Roman" w:cs="Arial"/>
              </w:rPr>
            </w:pPr>
            <w:r>
              <w:rPr>
                <w:rFonts w:eastAsia="Times New Roman" w:cs="Arial"/>
              </w:rPr>
              <w:t>ESRR</w:t>
            </w:r>
          </w:p>
        </w:tc>
        <w:tc>
          <w:tcPr>
            <w:tcW w:w="1839" w:type="dxa"/>
          </w:tcPr>
          <w:p w14:paraId="28E17EFA" w14:textId="77777777" w:rsidR="0048726D" w:rsidRPr="00FE5518" w:rsidRDefault="0048726D" w:rsidP="00F545BB">
            <w:pPr>
              <w:rPr>
                <w:rFonts w:eastAsia="Times New Roman" w:cs="Arial"/>
              </w:rPr>
            </w:pPr>
            <w:r>
              <w:rPr>
                <w:rFonts w:eastAsia="Times New Roman" w:cs="Arial"/>
              </w:rPr>
              <w:t>Manj razvite regije</w:t>
            </w:r>
          </w:p>
        </w:tc>
        <w:tc>
          <w:tcPr>
            <w:tcW w:w="1134" w:type="dxa"/>
          </w:tcPr>
          <w:p w14:paraId="6DD1074C" w14:textId="77777777" w:rsidR="0048726D" w:rsidRPr="00FE5518" w:rsidRDefault="0048726D" w:rsidP="00F545BB">
            <w:pPr>
              <w:rPr>
                <w:rFonts w:eastAsia="Times New Roman" w:cs="Arial"/>
              </w:rPr>
            </w:pPr>
            <w:r>
              <w:rPr>
                <w:rFonts w:eastAsia="Times New Roman" w:cs="Arial"/>
              </w:rPr>
              <w:t>RCO 07</w:t>
            </w:r>
          </w:p>
        </w:tc>
        <w:tc>
          <w:tcPr>
            <w:tcW w:w="2977" w:type="dxa"/>
          </w:tcPr>
          <w:p w14:paraId="0711DD95" w14:textId="77777777" w:rsidR="0048726D" w:rsidRPr="00FE5518" w:rsidRDefault="0048726D" w:rsidP="00F545BB">
            <w:pPr>
              <w:jc w:val="both"/>
              <w:rPr>
                <w:rFonts w:eastAsia="Times New Roman" w:cs="Arial"/>
              </w:rPr>
            </w:pPr>
            <w:r w:rsidRPr="00B37034">
              <w:rPr>
                <w:rFonts w:eastAsia="Times New Roman" w:cs="Arial"/>
              </w:rPr>
              <w:t>Raziskovalne organizacije, ki sodelujejo v skupnih raziskovalnih projektih</w:t>
            </w:r>
          </w:p>
        </w:tc>
        <w:tc>
          <w:tcPr>
            <w:tcW w:w="1417" w:type="dxa"/>
            <w:gridSpan w:val="2"/>
          </w:tcPr>
          <w:p w14:paraId="536E510E" w14:textId="77777777" w:rsidR="0048726D" w:rsidRPr="00FE5518" w:rsidRDefault="0048726D" w:rsidP="00F545BB">
            <w:pPr>
              <w:rPr>
                <w:rFonts w:eastAsia="Times New Roman" w:cs="Arial"/>
              </w:rPr>
            </w:pPr>
            <w:r w:rsidRPr="00B37034">
              <w:rPr>
                <w:rFonts w:eastAsia="Times New Roman" w:cs="Arial"/>
              </w:rPr>
              <w:t>raziskovalne organizacije</w:t>
            </w:r>
          </w:p>
        </w:tc>
        <w:tc>
          <w:tcPr>
            <w:tcW w:w="1134" w:type="dxa"/>
          </w:tcPr>
          <w:p w14:paraId="4A285B34" w14:textId="77777777" w:rsidR="0048726D" w:rsidRPr="00FE5518" w:rsidRDefault="0048726D" w:rsidP="00F545BB">
            <w:pPr>
              <w:rPr>
                <w:rFonts w:eastAsia="Times New Roman" w:cs="Arial"/>
              </w:rPr>
            </w:pPr>
            <w:r>
              <w:rPr>
                <w:rFonts w:eastAsia="Times New Roman" w:cs="Arial"/>
              </w:rPr>
              <w:t>/</w:t>
            </w:r>
          </w:p>
        </w:tc>
        <w:tc>
          <w:tcPr>
            <w:tcW w:w="3828" w:type="dxa"/>
          </w:tcPr>
          <w:p w14:paraId="093FC0EC" w14:textId="34976B4F" w:rsidR="0048726D" w:rsidRDefault="008425F0" w:rsidP="00F545BB">
            <w:pPr>
              <w:rPr>
                <w:rFonts w:eastAsia="Times New Roman" w:cs="Arial"/>
              </w:rPr>
            </w:pPr>
            <w:r>
              <w:rPr>
                <w:rFonts w:eastAsia="Times New Roman" w:cs="Arial"/>
              </w:rPr>
              <w:t>5</w:t>
            </w:r>
          </w:p>
        </w:tc>
      </w:tr>
      <w:tr w:rsidR="0048726D" w:rsidRPr="00FE5518" w14:paraId="4F6A72CF" w14:textId="77777777" w:rsidTr="006059E7">
        <w:trPr>
          <w:trHeight w:val="300"/>
        </w:trPr>
        <w:tc>
          <w:tcPr>
            <w:tcW w:w="1246" w:type="dxa"/>
          </w:tcPr>
          <w:p w14:paraId="30778675" w14:textId="77777777" w:rsidR="0048726D" w:rsidRPr="00FE5518" w:rsidRDefault="0048726D" w:rsidP="00F545BB">
            <w:pPr>
              <w:rPr>
                <w:rFonts w:eastAsia="Times New Roman" w:cs="Arial"/>
              </w:rPr>
            </w:pPr>
            <w:r w:rsidRPr="00FE5518">
              <w:rPr>
                <w:rFonts w:eastAsia="Times New Roman" w:cs="Arial"/>
              </w:rPr>
              <w:t>ESRR</w:t>
            </w:r>
          </w:p>
        </w:tc>
        <w:tc>
          <w:tcPr>
            <w:tcW w:w="1839" w:type="dxa"/>
          </w:tcPr>
          <w:p w14:paraId="746DFA03" w14:textId="77777777" w:rsidR="0048726D" w:rsidRPr="00FE5518" w:rsidRDefault="0048726D" w:rsidP="00F545BB">
            <w:pPr>
              <w:rPr>
                <w:rFonts w:eastAsia="Times New Roman" w:cs="Arial"/>
              </w:rPr>
            </w:pPr>
            <w:r w:rsidRPr="00FE5518">
              <w:rPr>
                <w:rFonts w:eastAsia="Times New Roman" w:cs="Arial"/>
              </w:rPr>
              <w:t>Bolj razvite regije</w:t>
            </w:r>
          </w:p>
        </w:tc>
        <w:tc>
          <w:tcPr>
            <w:tcW w:w="1134" w:type="dxa"/>
          </w:tcPr>
          <w:p w14:paraId="3A1D382E" w14:textId="77777777" w:rsidR="0048726D" w:rsidRPr="00FE5518" w:rsidRDefault="0048726D" w:rsidP="00F545BB">
            <w:pPr>
              <w:rPr>
                <w:rFonts w:eastAsia="Times New Roman" w:cs="Arial"/>
              </w:rPr>
            </w:pPr>
            <w:r w:rsidRPr="00FE5518">
              <w:rPr>
                <w:rFonts w:eastAsia="Times New Roman" w:cs="Arial"/>
              </w:rPr>
              <w:t>RCO 07</w:t>
            </w:r>
          </w:p>
        </w:tc>
        <w:tc>
          <w:tcPr>
            <w:tcW w:w="2977" w:type="dxa"/>
          </w:tcPr>
          <w:p w14:paraId="0E01168E" w14:textId="77777777" w:rsidR="0048726D" w:rsidRPr="00FE5518" w:rsidRDefault="0048726D" w:rsidP="00F545BB">
            <w:pPr>
              <w:jc w:val="both"/>
              <w:rPr>
                <w:rFonts w:eastAsia="Times New Roman" w:cs="Arial"/>
              </w:rPr>
            </w:pPr>
            <w:r w:rsidRPr="00FE5518">
              <w:rPr>
                <w:rFonts w:eastAsia="Times New Roman" w:cs="Arial"/>
              </w:rPr>
              <w:t>Raziskovalne organizacije, ki sodelujejo v skupnih raziskovalnih projektih</w:t>
            </w:r>
          </w:p>
        </w:tc>
        <w:tc>
          <w:tcPr>
            <w:tcW w:w="1417" w:type="dxa"/>
            <w:gridSpan w:val="2"/>
          </w:tcPr>
          <w:p w14:paraId="5ACAF0E5" w14:textId="77777777" w:rsidR="0048726D" w:rsidRPr="00FE5518" w:rsidRDefault="0048726D" w:rsidP="00F545BB">
            <w:pPr>
              <w:rPr>
                <w:rFonts w:eastAsia="Times New Roman" w:cs="Arial"/>
              </w:rPr>
            </w:pPr>
            <w:r w:rsidRPr="00FE5518">
              <w:rPr>
                <w:rFonts w:eastAsia="Times New Roman" w:cs="Arial"/>
              </w:rPr>
              <w:t>raziskovalne organizacije</w:t>
            </w:r>
          </w:p>
        </w:tc>
        <w:tc>
          <w:tcPr>
            <w:tcW w:w="1134" w:type="dxa"/>
          </w:tcPr>
          <w:p w14:paraId="36885A95" w14:textId="77777777" w:rsidR="0048726D" w:rsidRPr="00FE5518" w:rsidRDefault="0048726D" w:rsidP="00F545BB">
            <w:pPr>
              <w:rPr>
                <w:rFonts w:eastAsia="Times New Roman" w:cs="Arial"/>
              </w:rPr>
            </w:pPr>
            <w:r w:rsidRPr="00FE5518">
              <w:rPr>
                <w:rFonts w:eastAsia="Times New Roman" w:cs="Arial"/>
              </w:rPr>
              <w:t>/</w:t>
            </w:r>
          </w:p>
        </w:tc>
        <w:tc>
          <w:tcPr>
            <w:tcW w:w="3828" w:type="dxa"/>
          </w:tcPr>
          <w:p w14:paraId="2807D45B" w14:textId="55270FA8" w:rsidR="0048726D" w:rsidRPr="008425F0" w:rsidRDefault="008425F0" w:rsidP="00F545BB">
            <w:pPr>
              <w:rPr>
                <w:rFonts w:eastAsia="Times New Roman" w:cs="Arial"/>
              </w:rPr>
            </w:pPr>
            <w:r w:rsidRPr="008425F0">
              <w:rPr>
                <w:rFonts w:eastAsia="Times New Roman" w:cs="Arial"/>
              </w:rPr>
              <w:t>7</w:t>
            </w:r>
          </w:p>
        </w:tc>
      </w:tr>
      <w:tr w:rsidR="0048726D" w:rsidRPr="00FE5518" w:rsidDel="002D693D" w14:paraId="028802F5" w14:textId="77777777" w:rsidTr="006059E7">
        <w:trPr>
          <w:trHeight w:val="300"/>
        </w:trPr>
        <w:tc>
          <w:tcPr>
            <w:tcW w:w="1246" w:type="dxa"/>
          </w:tcPr>
          <w:p w14:paraId="41C3618A" w14:textId="77777777" w:rsidR="0048726D" w:rsidRPr="00FE5518" w:rsidRDefault="0048726D" w:rsidP="00F545BB">
            <w:pPr>
              <w:rPr>
                <w:rFonts w:eastAsia="Times New Roman" w:cs="Arial"/>
              </w:rPr>
            </w:pPr>
            <w:r>
              <w:rPr>
                <w:rFonts w:eastAsia="Times New Roman" w:cs="Arial"/>
              </w:rPr>
              <w:t>ESRR</w:t>
            </w:r>
          </w:p>
        </w:tc>
        <w:tc>
          <w:tcPr>
            <w:tcW w:w="1839" w:type="dxa"/>
          </w:tcPr>
          <w:p w14:paraId="7F81CC03" w14:textId="77777777" w:rsidR="0048726D" w:rsidRPr="00FE5518" w:rsidRDefault="0048726D" w:rsidP="00F545BB">
            <w:pPr>
              <w:rPr>
                <w:rFonts w:eastAsia="Times New Roman" w:cs="Arial"/>
              </w:rPr>
            </w:pPr>
            <w:r>
              <w:rPr>
                <w:rFonts w:eastAsia="Times New Roman" w:cs="Arial"/>
              </w:rPr>
              <w:t>Manj razvite regije</w:t>
            </w:r>
          </w:p>
        </w:tc>
        <w:tc>
          <w:tcPr>
            <w:tcW w:w="1134" w:type="dxa"/>
          </w:tcPr>
          <w:p w14:paraId="317C89F9" w14:textId="77777777" w:rsidR="0048726D" w:rsidRPr="00FE5518" w:rsidRDefault="0048726D" w:rsidP="00F545BB">
            <w:pPr>
              <w:rPr>
                <w:rFonts w:eastAsia="Times New Roman" w:cs="Arial"/>
              </w:rPr>
            </w:pPr>
            <w:r w:rsidRPr="002D693D">
              <w:rPr>
                <w:rFonts w:eastAsia="Times New Roman" w:cs="Arial"/>
              </w:rPr>
              <w:t>RCO 10</w:t>
            </w:r>
          </w:p>
        </w:tc>
        <w:tc>
          <w:tcPr>
            <w:tcW w:w="2977" w:type="dxa"/>
          </w:tcPr>
          <w:p w14:paraId="11C5EB1A" w14:textId="77777777" w:rsidR="0048726D" w:rsidRPr="00FE5518" w:rsidRDefault="0048726D" w:rsidP="00F545BB">
            <w:pPr>
              <w:jc w:val="both"/>
              <w:rPr>
                <w:rFonts w:eastAsia="Times New Roman" w:cs="Arial"/>
              </w:rPr>
            </w:pPr>
            <w:r w:rsidRPr="002D693D">
              <w:rPr>
                <w:rFonts w:eastAsia="Times New Roman" w:cs="Arial"/>
              </w:rPr>
              <w:t>Podjetja, ki sodelujejo z raziskovalnimi organizacijami</w:t>
            </w:r>
          </w:p>
        </w:tc>
        <w:tc>
          <w:tcPr>
            <w:tcW w:w="1417" w:type="dxa"/>
            <w:gridSpan w:val="2"/>
          </w:tcPr>
          <w:p w14:paraId="70D90F85" w14:textId="77777777" w:rsidR="0048726D" w:rsidRPr="00FE5518" w:rsidRDefault="0048726D" w:rsidP="00F545BB">
            <w:pPr>
              <w:rPr>
                <w:rFonts w:eastAsia="Times New Roman" w:cs="Arial"/>
              </w:rPr>
            </w:pPr>
            <w:r w:rsidRPr="002D693D">
              <w:rPr>
                <w:rFonts w:eastAsia="Times New Roman" w:cs="Arial"/>
              </w:rPr>
              <w:t>podjetja</w:t>
            </w:r>
          </w:p>
        </w:tc>
        <w:tc>
          <w:tcPr>
            <w:tcW w:w="1134" w:type="dxa"/>
          </w:tcPr>
          <w:p w14:paraId="523561AB" w14:textId="77777777" w:rsidR="0048726D" w:rsidRPr="00FE5518" w:rsidRDefault="0048726D" w:rsidP="00F545BB">
            <w:pPr>
              <w:rPr>
                <w:rFonts w:eastAsia="Times New Roman" w:cs="Arial"/>
              </w:rPr>
            </w:pPr>
            <w:r>
              <w:rPr>
                <w:rFonts w:eastAsia="Times New Roman" w:cs="Arial"/>
              </w:rPr>
              <w:t>/</w:t>
            </w:r>
          </w:p>
        </w:tc>
        <w:tc>
          <w:tcPr>
            <w:tcW w:w="3828" w:type="dxa"/>
          </w:tcPr>
          <w:p w14:paraId="64F0BCCD" w14:textId="6F16F619" w:rsidR="0048726D" w:rsidRPr="008425F0" w:rsidDel="002D693D" w:rsidRDefault="008425F0" w:rsidP="00F545BB">
            <w:pPr>
              <w:rPr>
                <w:rFonts w:eastAsia="Times New Roman" w:cs="Arial"/>
              </w:rPr>
            </w:pPr>
            <w:r w:rsidRPr="008425F0">
              <w:rPr>
                <w:rFonts w:eastAsia="Times New Roman" w:cs="Arial"/>
              </w:rPr>
              <w:t>5</w:t>
            </w:r>
          </w:p>
        </w:tc>
      </w:tr>
      <w:tr w:rsidR="0048726D" w:rsidRPr="00FE5518" w14:paraId="5B85F7CE" w14:textId="77777777" w:rsidTr="006059E7">
        <w:trPr>
          <w:trHeight w:val="300"/>
        </w:trPr>
        <w:tc>
          <w:tcPr>
            <w:tcW w:w="1246" w:type="dxa"/>
          </w:tcPr>
          <w:p w14:paraId="36E6157F" w14:textId="77777777" w:rsidR="0048726D" w:rsidRPr="00FE5518" w:rsidRDefault="0048726D" w:rsidP="00F545BB">
            <w:pPr>
              <w:rPr>
                <w:rFonts w:eastAsia="Times New Roman" w:cs="Arial"/>
              </w:rPr>
            </w:pPr>
            <w:r w:rsidRPr="00FE5518">
              <w:rPr>
                <w:rFonts w:eastAsia="Times New Roman" w:cs="Arial"/>
              </w:rPr>
              <w:t>ESRR</w:t>
            </w:r>
          </w:p>
        </w:tc>
        <w:tc>
          <w:tcPr>
            <w:tcW w:w="1839" w:type="dxa"/>
          </w:tcPr>
          <w:p w14:paraId="33D36E39" w14:textId="77777777" w:rsidR="0048726D" w:rsidRPr="00FE5518" w:rsidRDefault="0048726D" w:rsidP="00F545BB">
            <w:pPr>
              <w:rPr>
                <w:rFonts w:eastAsia="Times New Roman" w:cs="Arial"/>
              </w:rPr>
            </w:pPr>
            <w:r w:rsidRPr="00FE5518">
              <w:rPr>
                <w:rFonts w:eastAsia="Times New Roman" w:cs="Arial"/>
              </w:rPr>
              <w:t>Bolj razvite regije</w:t>
            </w:r>
          </w:p>
        </w:tc>
        <w:tc>
          <w:tcPr>
            <w:tcW w:w="1134" w:type="dxa"/>
          </w:tcPr>
          <w:p w14:paraId="51385D51" w14:textId="77777777" w:rsidR="0048726D" w:rsidRPr="00FE5518" w:rsidRDefault="0048726D" w:rsidP="00F545BB">
            <w:pPr>
              <w:rPr>
                <w:rFonts w:eastAsia="Times New Roman" w:cs="Arial"/>
              </w:rPr>
            </w:pPr>
            <w:r w:rsidRPr="00FE5518">
              <w:rPr>
                <w:rFonts w:eastAsia="Times New Roman" w:cs="Arial"/>
              </w:rPr>
              <w:t>RCO 10</w:t>
            </w:r>
          </w:p>
        </w:tc>
        <w:tc>
          <w:tcPr>
            <w:tcW w:w="2977" w:type="dxa"/>
          </w:tcPr>
          <w:p w14:paraId="7A60D9BE" w14:textId="77777777" w:rsidR="0048726D" w:rsidRPr="00FE5518" w:rsidRDefault="0048726D" w:rsidP="00F545BB">
            <w:pPr>
              <w:jc w:val="both"/>
              <w:rPr>
                <w:rFonts w:eastAsia="Times New Roman" w:cs="Arial"/>
              </w:rPr>
            </w:pPr>
            <w:r w:rsidRPr="00FE5518">
              <w:rPr>
                <w:rFonts w:eastAsia="Times New Roman" w:cs="Arial"/>
              </w:rPr>
              <w:t>Podjetja, ki sodelujejo z raziskovalnimi organizacijami</w:t>
            </w:r>
          </w:p>
        </w:tc>
        <w:tc>
          <w:tcPr>
            <w:tcW w:w="1417" w:type="dxa"/>
            <w:gridSpan w:val="2"/>
          </w:tcPr>
          <w:p w14:paraId="708E4EBF" w14:textId="77777777" w:rsidR="0048726D" w:rsidRPr="00FE5518" w:rsidRDefault="0048726D" w:rsidP="00F545BB">
            <w:pPr>
              <w:rPr>
                <w:rFonts w:eastAsia="Times New Roman" w:cs="Arial"/>
              </w:rPr>
            </w:pPr>
            <w:r w:rsidRPr="00FE5518">
              <w:rPr>
                <w:rFonts w:eastAsia="Times New Roman" w:cs="Arial"/>
              </w:rPr>
              <w:t>podjetja</w:t>
            </w:r>
          </w:p>
        </w:tc>
        <w:tc>
          <w:tcPr>
            <w:tcW w:w="1134" w:type="dxa"/>
          </w:tcPr>
          <w:p w14:paraId="1E6FF7FD" w14:textId="77777777" w:rsidR="0048726D" w:rsidRPr="00FE5518" w:rsidRDefault="0048726D" w:rsidP="00F545BB">
            <w:pPr>
              <w:rPr>
                <w:rFonts w:eastAsia="Times New Roman" w:cs="Arial"/>
              </w:rPr>
            </w:pPr>
            <w:r w:rsidRPr="00FE5518">
              <w:rPr>
                <w:rFonts w:eastAsia="Times New Roman" w:cs="Arial"/>
              </w:rPr>
              <w:t>/</w:t>
            </w:r>
          </w:p>
        </w:tc>
        <w:tc>
          <w:tcPr>
            <w:tcW w:w="3828" w:type="dxa"/>
          </w:tcPr>
          <w:p w14:paraId="48896F77" w14:textId="07673D7F" w:rsidR="0048726D" w:rsidRPr="008425F0" w:rsidRDefault="008425F0" w:rsidP="00F545BB">
            <w:pPr>
              <w:rPr>
                <w:rFonts w:eastAsia="Times New Roman" w:cs="Arial"/>
              </w:rPr>
            </w:pPr>
            <w:r w:rsidRPr="008425F0">
              <w:rPr>
                <w:rFonts w:eastAsia="Times New Roman" w:cs="Arial"/>
              </w:rPr>
              <w:t>7</w:t>
            </w:r>
          </w:p>
        </w:tc>
      </w:tr>
      <w:tr w:rsidR="0048726D" w:rsidRPr="00FE5518" w:rsidDel="002D693D" w14:paraId="04B89DAA" w14:textId="77777777" w:rsidTr="006059E7">
        <w:trPr>
          <w:trHeight w:val="300"/>
        </w:trPr>
        <w:tc>
          <w:tcPr>
            <w:tcW w:w="1246" w:type="dxa"/>
          </w:tcPr>
          <w:p w14:paraId="393C1ACD" w14:textId="77777777" w:rsidR="0048726D" w:rsidRPr="00FE5518" w:rsidRDefault="0048726D" w:rsidP="00F545BB">
            <w:pPr>
              <w:rPr>
                <w:rFonts w:eastAsia="Times New Roman" w:cs="Arial"/>
              </w:rPr>
            </w:pPr>
            <w:r>
              <w:rPr>
                <w:rFonts w:eastAsia="Times New Roman" w:cs="Arial"/>
              </w:rPr>
              <w:t>ESRR</w:t>
            </w:r>
          </w:p>
        </w:tc>
        <w:tc>
          <w:tcPr>
            <w:tcW w:w="1839" w:type="dxa"/>
          </w:tcPr>
          <w:p w14:paraId="51DCF972" w14:textId="77777777" w:rsidR="0048726D" w:rsidRPr="00FE5518" w:rsidRDefault="0048726D" w:rsidP="00F545BB">
            <w:pPr>
              <w:rPr>
                <w:rFonts w:eastAsia="Times New Roman" w:cs="Arial"/>
              </w:rPr>
            </w:pPr>
            <w:r>
              <w:rPr>
                <w:rFonts w:eastAsia="Times New Roman" w:cs="Arial"/>
              </w:rPr>
              <w:t>Manj razvite regije</w:t>
            </w:r>
          </w:p>
        </w:tc>
        <w:tc>
          <w:tcPr>
            <w:tcW w:w="1134" w:type="dxa"/>
          </w:tcPr>
          <w:p w14:paraId="255A757D" w14:textId="77777777" w:rsidR="0048726D" w:rsidRPr="00FE5518" w:rsidRDefault="0048726D" w:rsidP="00F545BB">
            <w:pPr>
              <w:rPr>
                <w:rFonts w:eastAsia="Times New Roman" w:cs="Arial"/>
              </w:rPr>
            </w:pPr>
            <w:r>
              <w:rPr>
                <w:rFonts w:eastAsia="Times New Roman" w:cs="Arial"/>
              </w:rPr>
              <w:t>RCO 125</w:t>
            </w:r>
          </w:p>
        </w:tc>
        <w:tc>
          <w:tcPr>
            <w:tcW w:w="2977" w:type="dxa"/>
            <w:shd w:val="clear" w:color="auto" w:fill="auto"/>
          </w:tcPr>
          <w:p w14:paraId="1A5A058B" w14:textId="77777777" w:rsidR="0048726D" w:rsidRPr="00FE5518" w:rsidRDefault="0048726D" w:rsidP="00F545BB">
            <w:pPr>
              <w:jc w:val="both"/>
              <w:rPr>
                <w:rFonts w:eastAsia="Times New Roman" w:cs="Arial"/>
              </w:rPr>
            </w:pPr>
            <w:r w:rsidRPr="00FE5518">
              <w:rPr>
                <w:rFonts w:eastAsia="Times New Roman" w:cs="Arial"/>
              </w:rPr>
              <w:t>Podprta podjetja, povezana predvsem s produktivnimi naložbami v globoke in digitalne tehnologije</w:t>
            </w:r>
          </w:p>
        </w:tc>
        <w:tc>
          <w:tcPr>
            <w:tcW w:w="1417" w:type="dxa"/>
            <w:gridSpan w:val="2"/>
          </w:tcPr>
          <w:p w14:paraId="0A9363C4" w14:textId="77777777" w:rsidR="0048726D" w:rsidRPr="00FE5518" w:rsidRDefault="0048726D" w:rsidP="00F545BB">
            <w:pPr>
              <w:rPr>
                <w:rFonts w:eastAsia="Times New Roman" w:cs="Arial"/>
              </w:rPr>
            </w:pPr>
            <w:r w:rsidRPr="002D693D">
              <w:rPr>
                <w:rFonts w:eastAsia="Times New Roman" w:cs="Arial"/>
              </w:rPr>
              <w:t>podjetja</w:t>
            </w:r>
          </w:p>
        </w:tc>
        <w:tc>
          <w:tcPr>
            <w:tcW w:w="1134" w:type="dxa"/>
          </w:tcPr>
          <w:p w14:paraId="53670781" w14:textId="77777777" w:rsidR="0048726D" w:rsidRPr="00FE5518" w:rsidRDefault="0048726D" w:rsidP="00F545BB">
            <w:pPr>
              <w:rPr>
                <w:rFonts w:eastAsia="Times New Roman" w:cs="Arial"/>
              </w:rPr>
            </w:pPr>
            <w:r>
              <w:rPr>
                <w:rFonts w:eastAsia="Times New Roman" w:cs="Arial"/>
              </w:rPr>
              <w:t>/</w:t>
            </w:r>
          </w:p>
        </w:tc>
        <w:tc>
          <w:tcPr>
            <w:tcW w:w="3828" w:type="dxa"/>
          </w:tcPr>
          <w:p w14:paraId="3297CDA2" w14:textId="77777777" w:rsidR="0048726D" w:rsidRPr="008425F0" w:rsidDel="002D693D" w:rsidRDefault="0048726D" w:rsidP="00F545BB">
            <w:pPr>
              <w:rPr>
                <w:rFonts w:eastAsia="Times New Roman" w:cs="Arial"/>
              </w:rPr>
            </w:pPr>
            <w:r w:rsidRPr="008425F0">
              <w:rPr>
                <w:rFonts w:eastAsia="Times New Roman" w:cs="Arial"/>
              </w:rPr>
              <w:t>5</w:t>
            </w:r>
          </w:p>
        </w:tc>
      </w:tr>
      <w:tr w:rsidR="0048726D" w:rsidRPr="00FE5518" w14:paraId="1095581B" w14:textId="77777777" w:rsidTr="006059E7">
        <w:trPr>
          <w:trHeight w:val="300"/>
        </w:trPr>
        <w:tc>
          <w:tcPr>
            <w:tcW w:w="1246" w:type="dxa"/>
            <w:shd w:val="clear" w:color="auto" w:fill="auto"/>
          </w:tcPr>
          <w:p w14:paraId="3985461E" w14:textId="77777777" w:rsidR="0048726D" w:rsidRPr="00FE5518" w:rsidRDefault="0048726D" w:rsidP="00F545BB">
            <w:pPr>
              <w:rPr>
                <w:rFonts w:eastAsia="Times New Roman" w:cs="Arial"/>
              </w:rPr>
            </w:pPr>
            <w:r w:rsidRPr="00FE5518">
              <w:rPr>
                <w:rFonts w:eastAsia="Times New Roman" w:cs="Arial"/>
              </w:rPr>
              <w:t>ESRR</w:t>
            </w:r>
          </w:p>
        </w:tc>
        <w:tc>
          <w:tcPr>
            <w:tcW w:w="1839" w:type="dxa"/>
            <w:shd w:val="clear" w:color="auto" w:fill="auto"/>
          </w:tcPr>
          <w:p w14:paraId="48DFD20D" w14:textId="77777777" w:rsidR="0048726D" w:rsidRPr="00FE5518" w:rsidRDefault="0048726D" w:rsidP="00F545BB">
            <w:pPr>
              <w:rPr>
                <w:rFonts w:eastAsia="Times New Roman" w:cs="Arial"/>
              </w:rPr>
            </w:pPr>
            <w:r w:rsidRPr="00FE5518">
              <w:rPr>
                <w:rFonts w:eastAsia="Times New Roman" w:cs="Arial"/>
              </w:rPr>
              <w:t>Bolj razvite regije</w:t>
            </w:r>
          </w:p>
        </w:tc>
        <w:tc>
          <w:tcPr>
            <w:tcW w:w="1134" w:type="dxa"/>
            <w:shd w:val="clear" w:color="auto" w:fill="auto"/>
          </w:tcPr>
          <w:p w14:paraId="4D8A1ECE" w14:textId="77777777" w:rsidR="0048726D" w:rsidRPr="00FE5518" w:rsidRDefault="0048726D" w:rsidP="00F545BB">
            <w:pPr>
              <w:rPr>
                <w:rFonts w:eastAsia="Times New Roman" w:cs="Arial"/>
              </w:rPr>
            </w:pPr>
            <w:r w:rsidRPr="00FE5518">
              <w:rPr>
                <w:rFonts w:eastAsia="Times New Roman" w:cs="Arial"/>
              </w:rPr>
              <w:t>RCO 125</w:t>
            </w:r>
          </w:p>
        </w:tc>
        <w:tc>
          <w:tcPr>
            <w:tcW w:w="2977" w:type="dxa"/>
            <w:shd w:val="clear" w:color="auto" w:fill="auto"/>
          </w:tcPr>
          <w:p w14:paraId="46CC95C2" w14:textId="77777777" w:rsidR="0048726D" w:rsidRPr="00FE5518" w:rsidRDefault="0048726D" w:rsidP="00F545BB">
            <w:pPr>
              <w:jc w:val="both"/>
              <w:rPr>
                <w:rFonts w:eastAsia="Times New Roman" w:cs="Arial"/>
              </w:rPr>
            </w:pPr>
            <w:r w:rsidRPr="00FE5518">
              <w:rPr>
                <w:rFonts w:eastAsia="Times New Roman" w:cs="Arial"/>
              </w:rPr>
              <w:t>Podprta podjetja, povezana predvsem s produktivnimi naložbami v globoke in digitalne tehnologije</w:t>
            </w:r>
          </w:p>
        </w:tc>
        <w:tc>
          <w:tcPr>
            <w:tcW w:w="1417" w:type="dxa"/>
            <w:gridSpan w:val="2"/>
            <w:shd w:val="clear" w:color="auto" w:fill="auto"/>
          </w:tcPr>
          <w:p w14:paraId="319A13E9" w14:textId="77777777" w:rsidR="0048726D" w:rsidRPr="00FE5518" w:rsidRDefault="0048726D" w:rsidP="00F545BB">
            <w:pPr>
              <w:rPr>
                <w:rFonts w:eastAsia="Times New Roman" w:cs="Arial"/>
              </w:rPr>
            </w:pPr>
            <w:r w:rsidRPr="00FE5518">
              <w:rPr>
                <w:rFonts w:eastAsia="Times New Roman" w:cs="Arial"/>
              </w:rPr>
              <w:t>podjetja</w:t>
            </w:r>
          </w:p>
        </w:tc>
        <w:tc>
          <w:tcPr>
            <w:tcW w:w="1134" w:type="dxa"/>
            <w:shd w:val="clear" w:color="auto" w:fill="auto"/>
          </w:tcPr>
          <w:p w14:paraId="7EFAA2B7" w14:textId="77777777" w:rsidR="0048726D" w:rsidRPr="00FE5518" w:rsidRDefault="0048726D" w:rsidP="00F545BB">
            <w:pPr>
              <w:rPr>
                <w:rFonts w:eastAsia="Times New Roman" w:cs="Arial"/>
              </w:rPr>
            </w:pPr>
            <w:r w:rsidRPr="00FE5518">
              <w:rPr>
                <w:rFonts w:eastAsia="Times New Roman" w:cs="Arial"/>
              </w:rPr>
              <w:t>/</w:t>
            </w:r>
          </w:p>
        </w:tc>
        <w:tc>
          <w:tcPr>
            <w:tcW w:w="3828" w:type="dxa"/>
            <w:shd w:val="clear" w:color="auto" w:fill="auto"/>
          </w:tcPr>
          <w:p w14:paraId="704134D9" w14:textId="77777777" w:rsidR="0048726D" w:rsidRPr="00FE5518" w:rsidRDefault="0048726D" w:rsidP="00F545BB">
            <w:pPr>
              <w:rPr>
                <w:rFonts w:eastAsia="Times New Roman" w:cs="Arial"/>
              </w:rPr>
            </w:pPr>
            <w:r>
              <w:rPr>
                <w:rFonts w:eastAsia="Times New Roman" w:cs="Arial"/>
              </w:rPr>
              <w:t>3</w:t>
            </w:r>
          </w:p>
        </w:tc>
      </w:tr>
      <w:tr w:rsidR="0048726D" w14:paraId="3F15A397" w14:textId="77777777" w:rsidTr="006059E7">
        <w:trPr>
          <w:trHeight w:val="300"/>
        </w:trPr>
        <w:tc>
          <w:tcPr>
            <w:tcW w:w="1246" w:type="dxa"/>
          </w:tcPr>
          <w:p w14:paraId="4C61AD3E" w14:textId="77777777" w:rsidR="0048726D" w:rsidRPr="00FE5518" w:rsidRDefault="0048726D" w:rsidP="00F545BB">
            <w:pPr>
              <w:rPr>
                <w:rFonts w:eastAsia="Times New Roman" w:cs="Arial"/>
              </w:rPr>
            </w:pPr>
            <w:r>
              <w:rPr>
                <w:rFonts w:eastAsia="Times New Roman" w:cs="Arial"/>
              </w:rPr>
              <w:t>ESRR</w:t>
            </w:r>
          </w:p>
        </w:tc>
        <w:tc>
          <w:tcPr>
            <w:tcW w:w="1839" w:type="dxa"/>
          </w:tcPr>
          <w:p w14:paraId="5A400E85" w14:textId="77777777" w:rsidR="0048726D" w:rsidRPr="00FE5518" w:rsidRDefault="0048726D" w:rsidP="00F545BB">
            <w:pPr>
              <w:rPr>
                <w:rFonts w:eastAsia="Times New Roman" w:cs="Arial"/>
              </w:rPr>
            </w:pPr>
            <w:r>
              <w:rPr>
                <w:rFonts w:eastAsia="Times New Roman" w:cs="Arial"/>
              </w:rPr>
              <w:t>Manj razvite regije</w:t>
            </w:r>
          </w:p>
        </w:tc>
        <w:tc>
          <w:tcPr>
            <w:tcW w:w="1134" w:type="dxa"/>
            <w:shd w:val="clear" w:color="auto" w:fill="auto"/>
          </w:tcPr>
          <w:p w14:paraId="6679ECD7" w14:textId="77777777" w:rsidR="0048726D" w:rsidRPr="00FE5518" w:rsidRDefault="0048726D" w:rsidP="00F545BB">
            <w:pPr>
              <w:rPr>
                <w:rFonts w:eastAsia="Times New Roman" w:cs="Arial"/>
              </w:rPr>
            </w:pPr>
            <w:r>
              <w:rPr>
                <w:rFonts w:eastAsia="Times New Roman" w:cs="Arial"/>
              </w:rPr>
              <w:t>RCO 126</w:t>
            </w:r>
          </w:p>
        </w:tc>
        <w:tc>
          <w:tcPr>
            <w:tcW w:w="2977" w:type="dxa"/>
            <w:shd w:val="clear" w:color="auto" w:fill="auto"/>
          </w:tcPr>
          <w:p w14:paraId="6E7FDCDA" w14:textId="77777777" w:rsidR="0048726D" w:rsidRPr="00FE5518" w:rsidRDefault="0048726D" w:rsidP="00F545BB">
            <w:pPr>
              <w:jc w:val="both"/>
              <w:rPr>
                <w:rFonts w:eastAsia="Times New Roman" w:cs="Arial"/>
              </w:rPr>
            </w:pPr>
            <w:r w:rsidRPr="00FE5518">
              <w:rPr>
                <w:rFonts w:eastAsia="Times New Roman" w:cs="Arial"/>
              </w:rPr>
              <w:t>Podprta podjetja, povezana predvsem s produktivnimi naložbami v čiste tehnologije</w:t>
            </w:r>
          </w:p>
        </w:tc>
        <w:tc>
          <w:tcPr>
            <w:tcW w:w="1417" w:type="dxa"/>
            <w:gridSpan w:val="2"/>
            <w:shd w:val="clear" w:color="auto" w:fill="auto"/>
          </w:tcPr>
          <w:p w14:paraId="3A4894DA" w14:textId="77777777" w:rsidR="0048726D" w:rsidRPr="00FE5518" w:rsidRDefault="0048726D" w:rsidP="00F545BB">
            <w:pPr>
              <w:rPr>
                <w:rFonts w:eastAsia="Times New Roman" w:cs="Arial"/>
              </w:rPr>
            </w:pPr>
            <w:r w:rsidRPr="00FE5518">
              <w:rPr>
                <w:rFonts w:eastAsia="Times New Roman" w:cs="Arial"/>
              </w:rPr>
              <w:t>podjetja</w:t>
            </w:r>
          </w:p>
        </w:tc>
        <w:tc>
          <w:tcPr>
            <w:tcW w:w="1134" w:type="dxa"/>
            <w:shd w:val="clear" w:color="auto" w:fill="auto"/>
          </w:tcPr>
          <w:p w14:paraId="0D833A34" w14:textId="77777777" w:rsidR="0048726D" w:rsidRPr="00FE5518" w:rsidRDefault="0048726D" w:rsidP="00F545BB">
            <w:pPr>
              <w:rPr>
                <w:rFonts w:eastAsia="Times New Roman" w:cs="Arial"/>
              </w:rPr>
            </w:pPr>
            <w:r w:rsidRPr="00FE5518">
              <w:rPr>
                <w:rFonts w:eastAsia="Times New Roman" w:cs="Arial"/>
              </w:rPr>
              <w:t>/</w:t>
            </w:r>
          </w:p>
        </w:tc>
        <w:tc>
          <w:tcPr>
            <w:tcW w:w="3828" w:type="dxa"/>
            <w:shd w:val="clear" w:color="auto" w:fill="auto"/>
          </w:tcPr>
          <w:p w14:paraId="7E5C898B" w14:textId="77777777" w:rsidR="0048726D" w:rsidRDefault="0048726D" w:rsidP="00F545BB">
            <w:pPr>
              <w:rPr>
                <w:rFonts w:eastAsia="Times New Roman" w:cs="Arial"/>
              </w:rPr>
            </w:pPr>
            <w:r>
              <w:rPr>
                <w:rFonts w:eastAsia="Times New Roman" w:cs="Arial"/>
              </w:rPr>
              <w:t>5</w:t>
            </w:r>
          </w:p>
        </w:tc>
      </w:tr>
      <w:tr w:rsidR="0048726D" w:rsidRPr="00FE5518" w14:paraId="0D4DF3E7" w14:textId="77777777" w:rsidTr="006059E7">
        <w:trPr>
          <w:trHeight w:val="300"/>
        </w:trPr>
        <w:tc>
          <w:tcPr>
            <w:tcW w:w="1246" w:type="dxa"/>
            <w:shd w:val="clear" w:color="auto" w:fill="auto"/>
          </w:tcPr>
          <w:p w14:paraId="053D7686" w14:textId="77777777" w:rsidR="0048726D" w:rsidRPr="00FE5518" w:rsidRDefault="0048726D" w:rsidP="00F545BB">
            <w:pPr>
              <w:rPr>
                <w:rFonts w:eastAsia="Times New Roman" w:cs="Arial"/>
              </w:rPr>
            </w:pPr>
            <w:r w:rsidRPr="00FE5518">
              <w:rPr>
                <w:rFonts w:eastAsia="Times New Roman" w:cs="Arial"/>
              </w:rPr>
              <w:lastRenderedPageBreak/>
              <w:t>ESRR</w:t>
            </w:r>
          </w:p>
        </w:tc>
        <w:tc>
          <w:tcPr>
            <w:tcW w:w="1839" w:type="dxa"/>
            <w:shd w:val="clear" w:color="auto" w:fill="auto"/>
          </w:tcPr>
          <w:p w14:paraId="21F8B85D" w14:textId="77777777" w:rsidR="0048726D" w:rsidRPr="00FE5518" w:rsidRDefault="0048726D" w:rsidP="00F545BB">
            <w:pPr>
              <w:rPr>
                <w:rFonts w:eastAsia="Times New Roman" w:cs="Arial"/>
              </w:rPr>
            </w:pPr>
            <w:r w:rsidRPr="00FE5518">
              <w:rPr>
                <w:rFonts w:eastAsia="Times New Roman" w:cs="Arial"/>
              </w:rPr>
              <w:t>Bolj razvite regije</w:t>
            </w:r>
          </w:p>
        </w:tc>
        <w:tc>
          <w:tcPr>
            <w:tcW w:w="1134" w:type="dxa"/>
            <w:shd w:val="clear" w:color="auto" w:fill="auto"/>
          </w:tcPr>
          <w:p w14:paraId="5DC59EC7" w14:textId="77777777" w:rsidR="0048726D" w:rsidRPr="00FE5518" w:rsidRDefault="0048726D" w:rsidP="00F545BB">
            <w:pPr>
              <w:rPr>
                <w:rFonts w:eastAsia="Times New Roman" w:cs="Arial"/>
              </w:rPr>
            </w:pPr>
            <w:r w:rsidRPr="00FE5518">
              <w:rPr>
                <w:rFonts w:eastAsia="Times New Roman" w:cs="Arial"/>
              </w:rPr>
              <w:t>RCO 126</w:t>
            </w:r>
          </w:p>
        </w:tc>
        <w:tc>
          <w:tcPr>
            <w:tcW w:w="2977" w:type="dxa"/>
            <w:shd w:val="clear" w:color="auto" w:fill="auto"/>
          </w:tcPr>
          <w:p w14:paraId="01690DB7" w14:textId="77777777" w:rsidR="0048726D" w:rsidRPr="00FE5518" w:rsidRDefault="0048726D" w:rsidP="00F545BB">
            <w:pPr>
              <w:jc w:val="both"/>
              <w:rPr>
                <w:rFonts w:eastAsia="Times New Roman" w:cs="Arial"/>
              </w:rPr>
            </w:pPr>
            <w:r w:rsidRPr="00FE5518">
              <w:rPr>
                <w:rFonts w:eastAsia="Times New Roman" w:cs="Arial"/>
              </w:rPr>
              <w:t>Podprta podjetja, povezana predvsem s produktivnimi naložbami v čiste tehnologije</w:t>
            </w:r>
          </w:p>
        </w:tc>
        <w:tc>
          <w:tcPr>
            <w:tcW w:w="1417" w:type="dxa"/>
            <w:gridSpan w:val="2"/>
            <w:shd w:val="clear" w:color="auto" w:fill="auto"/>
          </w:tcPr>
          <w:p w14:paraId="363FDBA8" w14:textId="77777777" w:rsidR="0048726D" w:rsidRPr="00FE5518" w:rsidRDefault="0048726D" w:rsidP="00F545BB">
            <w:pPr>
              <w:rPr>
                <w:rFonts w:eastAsia="Times New Roman" w:cs="Arial"/>
              </w:rPr>
            </w:pPr>
            <w:r w:rsidRPr="00FE5518">
              <w:rPr>
                <w:rFonts w:eastAsia="Times New Roman" w:cs="Arial"/>
              </w:rPr>
              <w:t>podjetja</w:t>
            </w:r>
          </w:p>
        </w:tc>
        <w:tc>
          <w:tcPr>
            <w:tcW w:w="1134" w:type="dxa"/>
            <w:shd w:val="clear" w:color="auto" w:fill="auto"/>
          </w:tcPr>
          <w:p w14:paraId="4ADA7C05" w14:textId="77777777" w:rsidR="0048726D" w:rsidRPr="00FE5518" w:rsidRDefault="0048726D" w:rsidP="00F545BB">
            <w:pPr>
              <w:rPr>
                <w:rFonts w:eastAsia="Times New Roman" w:cs="Arial"/>
              </w:rPr>
            </w:pPr>
            <w:r w:rsidRPr="00FE5518">
              <w:rPr>
                <w:rFonts w:eastAsia="Times New Roman" w:cs="Arial"/>
              </w:rPr>
              <w:t>/</w:t>
            </w:r>
          </w:p>
        </w:tc>
        <w:tc>
          <w:tcPr>
            <w:tcW w:w="3828" w:type="dxa"/>
            <w:shd w:val="clear" w:color="auto" w:fill="auto"/>
          </w:tcPr>
          <w:p w14:paraId="3AD4B5C4" w14:textId="77777777" w:rsidR="0048726D" w:rsidRPr="00FE5518" w:rsidRDefault="0048726D" w:rsidP="00F545BB">
            <w:pPr>
              <w:rPr>
                <w:rFonts w:eastAsia="Times New Roman" w:cs="Arial"/>
              </w:rPr>
            </w:pPr>
            <w:r>
              <w:rPr>
                <w:rFonts w:eastAsia="Times New Roman" w:cs="Arial"/>
              </w:rPr>
              <w:t>2</w:t>
            </w:r>
          </w:p>
        </w:tc>
      </w:tr>
      <w:tr w:rsidR="0048726D" w:rsidRPr="00FE5518" w14:paraId="7F01F833" w14:textId="77777777" w:rsidTr="006059E7">
        <w:trPr>
          <w:trHeight w:val="300"/>
        </w:trPr>
        <w:tc>
          <w:tcPr>
            <w:tcW w:w="1246" w:type="dxa"/>
            <w:shd w:val="clear" w:color="auto" w:fill="auto"/>
          </w:tcPr>
          <w:p w14:paraId="02929447" w14:textId="77777777" w:rsidR="0048726D" w:rsidRPr="00FE5518" w:rsidRDefault="0048726D" w:rsidP="00F545BB">
            <w:pPr>
              <w:rPr>
                <w:rFonts w:eastAsia="Times New Roman" w:cs="Arial"/>
              </w:rPr>
            </w:pPr>
            <w:r w:rsidRPr="00FE5518">
              <w:rPr>
                <w:rFonts w:eastAsia="Times New Roman" w:cs="Arial"/>
              </w:rPr>
              <w:t>ESRR</w:t>
            </w:r>
          </w:p>
        </w:tc>
        <w:tc>
          <w:tcPr>
            <w:tcW w:w="1839" w:type="dxa"/>
            <w:shd w:val="clear" w:color="auto" w:fill="auto"/>
          </w:tcPr>
          <w:p w14:paraId="4C4F137A" w14:textId="77777777" w:rsidR="0048726D" w:rsidRPr="00FE5518" w:rsidRDefault="0048726D" w:rsidP="00F545BB">
            <w:pPr>
              <w:rPr>
                <w:rFonts w:eastAsia="Times New Roman" w:cs="Arial"/>
              </w:rPr>
            </w:pPr>
            <w:r w:rsidRPr="00FE5518">
              <w:rPr>
                <w:rFonts w:eastAsia="Times New Roman" w:cs="Arial"/>
              </w:rPr>
              <w:t>Manj razvite regije</w:t>
            </w:r>
          </w:p>
        </w:tc>
        <w:tc>
          <w:tcPr>
            <w:tcW w:w="1134" w:type="dxa"/>
            <w:shd w:val="clear" w:color="auto" w:fill="auto"/>
          </w:tcPr>
          <w:p w14:paraId="10AB0532" w14:textId="77777777" w:rsidR="0048726D" w:rsidRPr="00FE5518" w:rsidRDefault="0048726D" w:rsidP="00F545BB">
            <w:pPr>
              <w:rPr>
                <w:rFonts w:eastAsia="Times New Roman" w:cs="Arial"/>
              </w:rPr>
            </w:pPr>
            <w:r w:rsidRPr="00FE5518">
              <w:rPr>
                <w:rFonts w:eastAsia="Times New Roman" w:cs="Arial"/>
              </w:rPr>
              <w:t>RCO 127</w:t>
            </w:r>
          </w:p>
        </w:tc>
        <w:tc>
          <w:tcPr>
            <w:tcW w:w="2977" w:type="dxa"/>
            <w:shd w:val="clear" w:color="auto" w:fill="auto"/>
          </w:tcPr>
          <w:p w14:paraId="0BF2F96D" w14:textId="77777777" w:rsidR="0048726D" w:rsidRPr="00FE5518" w:rsidRDefault="0048726D" w:rsidP="00F545BB">
            <w:pPr>
              <w:jc w:val="both"/>
              <w:rPr>
                <w:rFonts w:eastAsia="Times New Roman" w:cs="Arial"/>
              </w:rPr>
            </w:pPr>
            <w:r w:rsidRPr="00FE5518">
              <w:rPr>
                <w:rFonts w:eastAsia="Times New Roman" w:cs="Arial"/>
              </w:rPr>
              <w:t>Podprta podjetja, povezana predvsem s produktivnimi naložbami v biotehnologije</w:t>
            </w:r>
          </w:p>
        </w:tc>
        <w:tc>
          <w:tcPr>
            <w:tcW w:w="1417" w:type="dxa"/>
            <w:gridSpan w:val="2"/>
            <w:shd w:val="clear" w:color="auto" w:fill="auto"/>
          </w:tcPr>
          <w:p w14:paraId="03578F29" w14:textId="77777777" w:rsidR="0048726D" w:rsidRPr="00FE5518" w:rsidRDefault="0048726D" w:rsidP="00F545BB">
            <w:pPr>
              <w:rPr>
                <w:rFonts w:eastAsia="Times New Roman" w:cs="Arial"/>
              </w:rPr>
            </w:pPr>
            <w:r w:rsidRPr="00FE5518">
              <w:rPr>
                <w:rFonts w:eastAsia="Times New Roman" w:cs="Arial"/>
              </w:rPr>
              <w:t>podjetja</w:t>
            </w:r>
          </w:p>
        </w:tc>
        <w:tc>
          <w:tcPr>
            <w:tcW w:w="1134" w:type="dxa"/>
            <w:shd w:val="clear" w:color="auto" w:fill="auto"/>
          </w:tcPr>
          <w:p w14:paraId="511BD316" w14:textId="77777777" w:rsidR="0048726D" w:rsidRPr="00FE5518" w:rsidRDefault="0048726D" w:rsidP="00F545BB">
            <w:pPr>
              <w:rPr>
                <w:rFonts w:eastAsia="Times New Roman" w:cs="Arial"/>
              </w:rPr>
            </w:pPr>
            <w:r w:rsidRPr="00FE5518">
              <w:rPr>
                <w:rFonts w:eastAsia="Times New Roman" w:cs="Arial"/>
              </w:rPr>
              <w:t>/</w:t>
            </w:r>
          </w:p>
        </w:tc>
        <w:tc>
          <w:tcPr>
            <w:tcW w:w="3828" w:type="dxa"/>
            <w:shd w:val="clear" w:color="auto" w:fill="auto"/>
          </w:tcPr>
          <w:p w14:paraId="337DDFDD" w14:textId="77777777" w:rsidR="0048726D" w:rsidRPr="00FE5518" w:rsidRDefault="0048726D" w:rsidP="00F545BB">
            <w:pPr>
              <w:rPr>
                <w:rFonts w:eastAsia="Times New Roman" w:cs="Arial"/>
              </w:rPr>
            </w:pPr>
            <w:r>
              <w:rPr>
                <w:rFonts w:eastAsia="Times New Roman" w:cs="Arial"/>
              </w:rPr>
              <w:t>3</w:t>
            </w:r>
          </w:p>
        </w:tc>
      </w:tr>
      <w:tr w:rsidR="0048726D" w:rsidRPr="00FE5518" w14:paraId="6D3A71BC" w14:textId="77777777" w:rsidTr="006059E7">
        <w:trPr>
          <w:trHeight w:val="300"/>
        </w:trPr>
        <w:tc>
          <w:tcPr>
            <w:tcW w:w="1246" w:type="dxa"/>
          </w:tcPr>
          <w:p w14:paraId="099BB158" w14:textId="77777777" w:rsidR="0048726D" w:rsidRPr="00FE5518" w:rsidRDefault="0048726D" w:rsidP="00F545BB">
            <w:pPr>
              <w:rPr>
                <w:rFonts w:eastAsia="Times New Roman" w:cs="Arial"/>
                <w:highlight w:val="yellow"/>
              </w:rPr>
            </w:pPr>
            <w:r w:rsidRPr="00FE5518">
              <w:rPr>
                <w:rFonts w:eastAsia="Times New Roman" w:cs="Arial"/>
              </w:rPr>
              <w:t>ESRR</w:t>
            </w:r>
          </w:p>
        </w:tc>
        <w:tc>
          <w:tcPr>
            <w:tcW w:w="1839" w:type="dxa"/>
          </w:tcPr>
          <w:p w14:paraId="34EF3757" w14:textId="77777777" w:rsidR="0048726D" w:rsidRPr="00FE5518" w:rsidRDefault="0048726D" w:rsidP="00F545BB">
            <w:pPr>
              <w:rPr>
                <w:rFonts w:eastAsia="Times New Roman" w:cs="Arial"/>
                <w:highlight w:val="yellow"/>
              </w:rPr>
            </w:pPr>
            <w:r w:rsidRPr="00FE5518">
              <w:rPr>
                <w:rFonts w:eastAsia="Times New Roman" w:cs="Arial"/>
              </w:rPr>
              <w:t>Bolj razvite regije</w:t>
            </w:r>
          </w:p>
        </w:tc>
        <w:tc>
          <w:tcPr>
            <w:tcW w:w="1134" w:type="dxa"/>
          </w:tcPr>
          <w:p w14:paraId="582ACB30" w14:textId="77777777" w:rsidR="0048726D" w:rsidRPr="00FE5518" w:rsidRDefault="0048726D" w:rsidP="00F545BB">
            <w:pPr>
              <w:rPr>
                <w:rFonts w:eastAsia="Times New Roman" w:cs="Arial"/>
                <w:highlight w:val="yellow"/>
              </w:rPr>
            </w:pPr>
            <w:r w:rsidRPr="00FE5518">
              <w:rPr>
                <w:rFonts w:eastAsia="Times New Roman" w:cs="Arial"/>
              </w:rPr>
              <w:t>RCO 127</w:t>
            </w:r>
          </w:p>
        </w:tc>
        <w:tc>
          <w:tcPr>
            <w:tcW w:w="2977" w:type="dxa"/>
          </w:tcPr>
          <w:p w14:paraId="7CC1CE52" w14:textId="77777777" w:rsidR="0048726D" w:rsidRPr="00FE5518" w:rsidRDefault="0048726D" w:rsidP="00F545BB">
            <w:pPr>
              <w:jc w:val="both"/>
              <w:rPr>
                <w:rFonts w:eastAsia="Times New Roman" w:cs="Arial"/>
                <w:highlight w:val="yellow"/>
              </w:rPr>
            </w:pPr>
            <w:r w:rsidRPr="00FE5518">
              <w:rPr>
                <w:rFonts w:eastAsia="Times New Roman" w:cs="Arial"/>
              </w:rPr>
              <w:t>Podprta podjetja, povezana predvsem s produktivnimi naložbami v biotehnologije</w:t>
            </w:r>
          </w:p>
        </w:tc>
        <w:tc>
          <w:tcPr>
            <w:tcW w:w="1417" w:type="dxa"/>
            <w:gridSpan w:val="2"/>
          </w:tcPr>
          <w:p w14:paraId="3215107B" w14:textId="77777777" w:rsidR="0048726D" w:rsidRPr="00FE5518" w:rsidRDefault="0048726D" w:rsidP="00F545BB">
            <w:pPr>
              <w:rPr>
                <w:rFonts w:eastAsia="Times New Roman" w:cs="Arial"/>
                <w:highlight w:val="yellow"/>
              </w:rPr>
            </w:pPr>
            <w:r w:rsidRPr="00FE5518">
              <w:rPr>
                <w:rFonts w:eastAsia="Times New Roman" w:cs="Arial"/>
              </w:rPr>
              <w:t>podjetja</w:t>
            </w:r>
          </w:p>
        </w:tc>
        <w:tc>
          <w:tcPr>
            <w:tcW w:w="1134" w:type="dxa"/>
          </w:tcPr>
          <w:p w14:paraId="6D261FB7" w14:textId="77777777" w:rsidR="0048726D" w:rsidRPr="00FE5518" w:rsidRDefault="0048726D" w:rsidP="00F545BB">
            <w:pPr>
              <w:rPr>
                <w:rFonts w:eastAsia="Times New Roman" w:cs="Arial"/>
              </w:rPr>
            </w:pPr>
            <w:r w:rsidRPr="00FE5518">
              <w:rPr>
                <w:rFonts w:eastAsia="Times New Roman" w:cs="Arial"/>
              </w:rPr>
              <w:t>/</w:t>
            </w:r>
          </w:p>
        </w:tc>
        <w:tc>
          <w:tcPr>
            <w:tcW w:w="3828" w:type="dxa"/>
          </w:tcPr>
          <w:p w14:paraId="6A9B91EF" w14:textId="77777777" w:rsidR="0048726D" w:rsidRPr="00FE5518" w:rsidRDefault="0048726D" w:rsidP="00F545BB">
            <w:pPr>
              <w:rPr>
                <w:rFonts w:eastAsia="Times New Roman" w:cs="Arial"/>
              </w:rPr>
            </w:pPr>
            <w:r>
              <w:rPr>
                <w:rFonts w:eastAsia="Times New Roman" w:cs="Arial"/>
              </w:rPr>
              <w:t>1</w:t>
            </w:r>
          </w:p>
        </w:tc>
      </w:tr>
    </w:tbl>
    <w:p w14:paraId="1091FBF9" w14:textId="77777777" w:rsidR="0011459E" w:rsidRDefault="0011459E" w:rsidP="0011459E">
      <w:pPr>
        <w:spacing w:after="0" w:line="240" w:lineRule="auto"/>
        <w:ind w:left="360"/>
      </w:pPr>
    </w:p>
    <w:p w14:paraId="4EDCA7BB" w14:textId="229BEA3D" w:rsidR="007D6A65" w:rsidRPr="00F67098" w:rsidRDefault="007D6A65" w:rsidP="007D6A65">
      <w:pPr>
        <w:pStyle w:val="Napis"/>
        <w:keepNext/>
        <w:spacing w:after="0"/>
        <w:rPr>
          <w:i w:val="0"/>
          <w:iCs w:val="0"/>
          <w:color w:val="auto"/>
          <w:sz w:val="20"/>
          <w:szCs w:val="20"/>
        </w:rPr>
      </w:pPr>
      <w:bookmarkStart w:id="77" w:name="_Toc191459959"/>
      <w:r w:rsidRPr="00F67098">
        <w:rPr>
          <w:i w:val="0"/>
          <w:iCs w:val="0"/>
          <w:color w:val="auto"/>
          <w:sz w:val="20"/>
          <w:szCs w:val="20"/>
        </w:rPr>
        <w:t xml:space="preserve">Tabela </w:t>
      </w:r>
      <w:r w:rsidRPr="00F67098">
        <w:rPr>
          <w:i w:val="0"/>
          <w:iCs w:val="0"/>
          <w:color w:val="auto"/>
          <w:sz w:val="20"/>
          <w:szCs w:val="20"/>
        </w:rPr>
        <w:fldChar w:fldCharType="begin"/>
      </w:r>
      <w:r w:rsidRPr="00F67098">
        <w:rPr>
          <w:i w:val="0"/>
          <w:iCs w:val="0"/>
          <w:color w:val="auto"/>
          <w:sz w:val="20"/>
          <w:szCs w:val="20"/>
        </w:rPr>
        <w:instrText xml:space="preserve"> SEQ Tabela \* ARABIC </w:instrText>
      </w:r>
      <w:r w:rsidRPr="00F67098">
        <w:rPr>
          <w:i w:val="0"/>
          <w:iCs w:val="0"/>
          <w:color w:val="auto"/>
          <w:sz w:val="20"/>
          <w:szCs w:val="20"/>
        </w:rPr>
        <w:fldChar w:fldCharType="separate"/>
      </w:r>
      <w:r w:rsidR="00784805">
        <w:rPr>
          <w:i w:val="0"/>
          <w:iCs w:val="0"/>
          <w:noProof/>
          <w:color w:val="auto"/>
          <w:sz w:val="20"/>
          <w:szCs w:val="20"/>
        </w:rPr>
        <w:t>15</w:t>
      </w:r>
      <w:r w:rsidRPr="00F67098">
        <w:rPr>
          <w:i w:val="0"/>
          <w:iCs w:val="0"/>
          <w:color w:val="auto"/>
          <w:sz w:val="20"/>
          <w:szCs w:val="20"/>
        </w:rPr>
        <w:fldChar w:fldCharType="end"/>
      </w:r>
      <w:r w:rsidRPr="00F67098">
        <w:rPr>
          <w:i w:val="0"/>
          <w:iCs w:val="0"/>
          <w:color w:val="auto"/>
          <w:sz w:val="20"/>
          <w:szCs w:val="20"/>
        </w:rPr>
        <w:t>: Identificirani možni kazalci rezultatov</w:t>
      </w:r>
      <w:bookmarkEnd w:id="77"/>
    </w:p>
    <w:p w14:paraId="6B6A22C9" w14:textId="77777777" w:rsidR="007D6A65" w:rsidRPr="007D6A65" w:rsidRDefault="007D6A65" w:rsidP="007D6A65">
      <w:pPr>
        <w:spacing w:after="0"/>
      </w:pPr>
    </w:p>
    <w:tbl>
      <w:tblPr>
        <w:tblStyle w:val="Tabelamrea2"/>
        <w:tblW w:w="13608" w:type="dxa"/>
        <w:tblInd w:w="-5" w:type="dxa"/>
        <w:tblLayout w:type="fixed"/>
        <w:tblLook w:val="04A0" w:firstRow="1" w:lastRow="0" w:firstColumn="1" w:lastColumn="0" w:noHBand="0" w:noVBand="1"/>
      </w:tblPr>
      <w:tblGrid>
        <w:gridCol w:w="1276"/>
        <w:gridCol w:w="993"/>
        <w:gridCol w:w="1133"/>
        <w:gridCol w:w="1843"/>
        <w:gridCol w:w="992"/>
        <w:gridCol w:w="3969"/>
        <w:gridCol w:w="1359"/>
        <w:gridCol w:w="909"/>
        <w:gridCol w:w="1134"/>
      </w:tblGrid>
      <w:tr w:rsidR="0022402B" w:rsidRPr="00FE5518" w14:paraId="2335025F" w14:textId="77777777" w:rsidTr="006059E7">
        <w:tc>
          <w:tcPr>
            <w:tcW w:w="1276" w:type="dxa"/>
            <w:shd w:val="clear" w:color="auto" w:fill="D9E2F3" w:themeFill="accent1" w:themeFillTint="33"/>
          </w:tcPr>
          <w:p w14:paraId="131B997E" w14:textId="77777777" w:rsidR="0011459E" w:rsidRPr="00FE5518" w:rsidRDefault="0011459E" w:rsidP="0011459E">
            <w:pPr>
              <w:rPr>
                <w:rFonts w:eastAsia="Times New Roman" w:cs="Arial"/>
              </w:rPr>
            </w:pPr>
            <w:r w:rsidRPr="00FE5518">
              <w:rPr>
                <w:rFonts w:eastAsia="Times New Roman" w:cs="Arial"/>
              </w:rPr>
              <w:t>Prednostna naloga</w:t>
            </w:r>
          </w:p>
        </w:tc>
        <w:tc>
          <w:tcPr>
            <w:tcW w:w="993" w:type="dxa"/>
            <w:shd w:val="clear" w:color="auto" w:fill="D9E2F3" w:themeFill="accent1" w:themeFillTint="33"/>
          </w:tcPr>
          <w:p w14:paraId="24DC34BE" w14:textId="77777777" w:rsidR="0011459E" w:rsidRPr="00FE5518" w:rsidRDefault="0011459E" w:rsidP="0011459E">
            <w:pPr>
              <w:rPr>
                <w:rFonts w:eastAsia="Times New Roman" w:cs="Arial"/>
              </w:rPr>
            </w:pPr>
            <w:r w:rsidRPr="00FE5518">
              <w:rPr>
                <w:rFonts w:eastAsia="Times New Roman" w:cs="Arial"/>
              </w:rPr>
              <w:t>Specifični cilj</w:t>
            </w:r>
          </w:p>
        </w:tc>
        <w:tc>
          <w:tcPr>
            <w:tcW w:w="1133" w:type="dxa"/>
            <w:shd w:val="clear" w:color="auto" w:fill="D9E2F3" w:themeFill="accent1" w:themeFillTint="33"/>
          </w:tcPr>
          <w:p w14:paraId="2EE018D1" w14:textId="77777777" w:rsidR="0011459E" w:rsidRPr="00FE5518" w:rsidRDefault="0011459E" w:rsidP="0011459E">
            <w:pPr>
              <w:rPr>
                <w:rFonts w:eastAsia="Times New Roman" w:cs="Arial"/>
              </w:rPr>
            </w:pPr>
            <w:r w:rsidRPr="00FE5518">
              <w:rPr>
                <w:rFonts w:eastAsia="Times New Roman" w:cs="Arial"/>
              </w:rPr>
              <w:t>Sklad</w:t>
            </w:r>
          </w:p>
        </w:tc>
        <w:tc>
          <w:tcPr>
            <w:tcW w:w="1843" w:type="dxa"/>
            <w:shd w:val="clear" w:color="auto" w:fill="D9E2F3" w:themeFill="accent1" w:themeFillTint="33"/>
          </w:tcPr>
          <w:p w14:paraId="6624E1D1" w14:textId="77777777" w:rsidR="0011459E" w:rsidRPr="00FE5518" w:rsidRDefault="0011459E" w:rsidP="0011459E">
            <w:pPr>
              <w:rPr>
                <w:rFonts w:eastAsia="Times New Roman" w:cs="Arial"/>
              </w:rPr>
            </w:pPr>
            <w:r w:rsidRPr="00FE5518">
              <w:rPr>
                <w:rFonts w:eastAsia="Times New Roman" w:cs="Arial"/>
              </w:rPr>
              <w:t>Kategorija regije</w:t>
            </w:r>
          </w:p>
        </w:tc>
        <w:tc>
          <w:tcPr>
            <w:tcW w:w="992" w:type="dxa"/>
            <w:shd w:val="clear" w:color="auto" w:fill="D9E2F3" w:themeFill="accent1" w:themeFillTint="33"/>
          </w:tcPr>
          <w:p w14:paraId="2FF7EB3D" w14:textId="77777777" w:rsidR="0011459E" w:rsidRPr="00FE5518" w:rsidRDefault="0011459E" w:rsidP="0011459E">
            <w:pPr>
              <w:rPr>
                <w:rFonts w:eastAsia="Times New Roman" w:cs="Arial"/>
              </w:rPr>
            </w:pPr>
            <w:r w:rsidRPr="00FE5518">
              <w:rPr>
                <w:rFonts w:eastAsia="Times New Roman" w:cs="Arial"/>
              </w:rPr>
              <w:t>ID</w:t>
            </w:r>
          </w:p>
        </w:tc>
        <w:tc>
          <w:tcPr>
            <w:tcW w:w="3969" w:type="dxa"/>
            <w:shd w:val="clear" w:color="auto" w:fill="D9E2F3" w:themeFill="accent1" w:themeFillTint="33"/>
          </w:tcPr>
          <w:p w14:paraId="5508549B" w14:textId="77777777" w:rsidR="0011459E" w:rsidRPr="00FE5518" w:rsidRDefault="0011459E" w:rsidP="0011459E">
            <w:pPr>
              <w:rPr>
                <w:rFonts w:eastAsia="Times New Roman" w:cs="Arial"/>
              </w:rPr>
            </w:pPr>
            <w:r w:rsidRPr="00FE5518">
              <w:rPr>
                <w:rFonts w:eastAsia="Times New Roman" w:cs="Arial"/>
              </w:rPr>
              <w:t>Kazalniki</w:t>
            </w:r>
          </w:p>
        </w:tc>
        <w:tc>
          <w:tcPr>
            <w:tcW w:w="1359" w:type="dxa"/>
            <w:shd w:val="clear" w:color="auto" w:fill="D9E2F3" w:themeFill="accent1" w:themeFillTint="33"/>
          </w:tcPr>
          <w:p w14:paraId="3BA2A928" w14:textId="77777777" w:rsidR="0011459E" w:rsidRPr="00FE5518" w:rsidRDefault="0011459E" w:rsidP="0011459E">
            <w:pPr>
              <w:rPr>
                <w:rFonts w:eastAsia="Times New Roman" w:cs="Arial"/>
              </w:rPr>
            </w:pPr>
            <w:r w:rsidRPr="00FE5518">
              <w:rPr>
                <w:rFonts w:eastAsia="Times New Roman" w:cs="Arial"/>
              </w:rPr>
              <w:t>Merska enota</w:t>
            </w:r>
          </w:p>
        </w:tc>
        <w:tc>
          <w:tcPr>
            <w:tcW w:w="909" w:type="dxa"/>
            <w:shd w:val="clear" w:color="auto" w:fill="D9E2F3" w:themeFill="accent1" w:themeFillTint="33"/>
          </w:tcPr>
          <w:p w14:paraId="6A403E1E" w14:textId="77777777" w:rsidR="0011459E" w:rsidRPr="00FE5518" w:rsidRDefault="0011459E" w:rsidP="0011459E">
            <w:pPr>
              <w:rPr>
                <w:rFonts w:eastAsia="Times New Roman" w:cs="Arial"/>
              </w:rPr>
            </w:pPr>
            <w:r w:rsidRPr="00FE5518">
              <w:rPr>
                <w:rFonts w:eastAsia="Times New Roman" w:cs="Arial"/>
              </w:rPr>
              <w:t xml:space="preserve">Mejnik </w:t>
            </w:r>
          </w:p>
        </w:tc>
        <w:tc>
          <w:tcPr>
            <w:tcW w:w="1134" w:type="dxa"/>
            <w:shd w:val="clear" w:color="auto" w:fill="D9E2F3" w:themeFill="accent1" w:themeFillTint="33"/>
          </w:tcPr>
          <w:p w14:paraId="3D9BF5E4" w14:textId="77777777" w:rsidR="0011459E" w:rsidRPr="00FE5518" w:rsidRDefault="0011459E" w:rsidP="0011459E">
            <w:pPr>
              <w:rPr>
                <w:rFonts w:eastAsia="Times New Roman" w:cs="Arial"/>
              </w:rPr>
            </w:pPr>
            <w:r w:rsidRPr="00FE5518">
              <w:rPr>
                <w:rFonts w:eastAsia="Times New Roman" w:cs="Arial"/>
              </w:rPr>
              <w:t>Cilj (2029)</w:t>
            </w:r>
          </w:p>
        </w:tc>
      </w:tr>
      <w:tr w:rsidR="00BD3657" w:rsidRPr="00FE5518" w14:paraId="70C3997F" w14:textId="77777777" w:rsidTr="006059E7">
        <w:tc>
          <w:tcPr>
            <w:tcW w:w="1276" w:type="dxa"/>
          </w:tcPr>
          <w:p w14:paraId="19197EF1" w14:textId="77777777" w:rsidR="00BD3657" w:rsidRPr="00FE5518" w:rsidRDefault="00BD3657" w:rsidP="00F545BB">
            <w:pPr>
              <w:rPr>
                <w:rFonts w:eastAsia="Times New Roman" w:cs="Arial"/>
              </w:rPr>
            </w:pPr>
            <w:r>
              <w:rPr>
                <w:rFonts w:eastAsia="Times New Roman" w:cs="Arial"/>
              </w:rPr>
              <w:t>1</w:t>
            </w:r>
          </w:p>
        </w:tc>
        <w:tc>
          <w:tcPr>
            <w:tcW w:w="993" w:type="dxa"/>
          </w:tcPr>
          <w:p w14:paraId="022792C2" w14:textId="77777777" w:rsidR="00BD3657" w:rsidRPr="00FE5518" w:rsidRDefault="00BD3657" w:rsidP="00F545BB">
            <w:pPr>
              <w:rPr>
                <w:rFonts w:eastAsia="Times New Roman" w:cs="Arial"/>
              </w:rPr>
            </w:pPr>
            <w:r>
              <w:rPr>
                <w:rFonts w:eastAsia="Times New Roman" w:cs="Arial"/>
              </w:rPr>
              <w:t>RSO1.6</w:t>
            </w:r>
          </w:p>
        </w:tc>
        <w:tc>
          <w:tcPr>
            <w:tcW w:w="1133" w:type="dxa"/>
          </w:tcPr>
          <w:p w14:paraId="4335E096" w14:textId="77777777" w:rsidR="00BD3657" w:rsidRPr="00FE5518" w:rsidRDefault="00BD3657" w:rsidP="00F545BB">
            <w:pPr>
              <w:rPr>
                <w:rFonts w:eastAsia="Times New Roman" w:cs="Arial"/>
              </w:rPr>
            </w:pPr>
            <w:r>
              <w:rPr>
                <w:rFonts w:eastAsia="Times New Roman" w:cs="Arial"/>
              </w:rPr>
              <w:t>ESRR</w:t>
            </w:r>
          </w:p>
        </w:tc>
        <w:tc>
          <w:tcPr>
            <w:tcW w:w="1843" w:type="dxa"/>
          </w:tcPr>
          <w:p w14:paraId="04F5B89C" w14:textId="77777777" w:rsidR="00BD3657" w:rsidRPr="00FE5518" w:rsidRDefault="00BD3657" w:rsidP="00F545BB">
            <w:pPr>
              <w:rPr>
                <w:rFonts w:eastAsia="Times New Roman" w:cs="Arial"/>
              </w:rPr>
            </w:pPr>
            <w:r>
              <w:rPr>
                <w:rFonts w:eastAsia="Times New Roman" w:cs="Arial"/>
              </w:rPr>
              <w:t>Manj razvite regije</w:t>
            </w:r>
          </w:p>
        </w:tc>
        <w:tc>
          <w:tcPr>
            <w:tcW w:w="992" w:type="dxa"/>
          </w:tcPr>
          <w:p w14:paraId="61B7E22E" w14:textId="77777777" w:rsidR="00BD3657" w:rsidRPr="00FE5518" w:rsidRDefault="00BD3657" w:rsidP="00F545BB">
            <w:pPr>
              <w:rPr>
                <w:rFonts w:eastAsia="Times New Roman" w:cs="Arial"/>
              </w:rPr>
            </w:pPr>
            <w:r>
              <w:rPr>
                <w:rFonts w:eastAsia="Times New Roman" w:cs="Arial"/>
              </w:rPr>
              <w:t>RCR 03</w:t>
            </w:r>
          </w:p>
        </w:tc>
        <w:tc>
          <w:tcPr>
            <w:tcW w:w="3969" w:type="dxa"/>
          </w:tcPr>
          <w:p w14:paraId="666CF0AD" w14:textId="77777777" w:rsidR="00BD3657" w:rsidRPr="00FE5518" w:rsidRDefault="00BD3657" w:rsidP="00F545BB">
            <w:pPr>
              <w:jc w:val="both"/>
              <w:rPr>
                <w:rFonts w:eastAsia="Times New Roman" w:cs="Arial"/>
              </w:rPr>
            </w:pPr>
            <w:r w:rsidRPr="00750555">
              <w:rPr>
                <w:rFonts w:eastAsia="Times New Roman" w:cs="Arial"/>
              </w:rPr>
              <w:t>Mala in srednja podjetja (MSP), ki uvajajo inovacije pri proizvodih ali procesih</w:t>
            </w:r>
          </w:p>
        </w:tc>
        <w:tc>
          <w:tcPr>
            <w:tcW w:w="1359" w:type="dxa"/>
          </w:tcPr>
          <w:p w14:paraId="7C5A0140" w14:textId="77777777" w:rsidR="00BD3657" w:rsidRPr="00FE5518" w:rsidRDefault="00BD3657" w:rsidP="00F545BB">
            <w:pPr>
              <w:rPr>
                <w:rFonts w:eastAsia="Times New Roman" w:cs="Arial"/>
              </w:rPr>
            </w:pPr>
            <w:r w:rsidRPr="00750555">
              <w:rPr>
                <w:rFonts w:eastAsia="Times New Roman" w:cs="Arial"/>
              </w:rPr>
              <w:t>podjetja</w:t>
            </w:r>
          </w:p>
        </w:tc>
        <w:tc>
          <w:tcPr>
            <w:tcW w:w="909" w:type="dxa"/>
          </w:tcPr>
          <w:p w14:paraId="23EEDD60" w14:textId="77777777" w:rsidR="00BD3657" w:rsidRPr="00FE5518" w:rsidRDefault="00BD3657" w:rsidP="00F545BB">
            <w:pPr>
              <w:rPr>
                <w:rFonts w:eastAsia="Times New Roman" w:cs="Arial"/>
              </w:rPr>
            </w:pPr>
            <w:r>
              <w:rPr>
                <w:rFonts w:eastAsia="Times New Roman" w:cs="Arial"/>
              </w:rPr>
              <w:t>/</w:t>
            </w:r>
          </w:p>
        </w:tc>
        <w:tc>
          <w:tcPr>
            <w:tcW w:w="1134" w:type="dxa"/>
          </w:tcPr>
          <w:p w14:paraId="1DAF7FB9" w14:textId="77777777" w:rsidR="00BD3657" w:rsidRPr="00FE5518" w:rsidRDefault="00BD3657" w:rsidP="00F545BB">
            <w:pPr>
              <w:rPr>
                <w:rFonts w:eastAsia="Times New Roman" w:cs="Arial"/>
              </w:rPr>
            </w:pPr>
            <w:r>
              <w:rPr>
                <w:rFonts w:eastAsia="Times New Roman" w:cs="Arial"/>
              </w:rPr>
              <w:t>24</w:t>
            </w:r>
          </w:p>
        </w:tc>
      </w:tr>
      <w:tr w:rsidR="00BD3657" w:rsidRPr="00FE5518" w14:paraId="4EC7DF4B" w14:textId="77777777" w:rsidTr="006059E7">
        <w:tc>
          <w:tcPr>
            <w:tcW w:w="1276" w:type="dxa"/>
          </w:tcPr>
          <w:p w14:paraId="1AE48D4F" w14:textId="77777777" w:rsidR="00BD3657" w:rsidRPr="00FE5518" w:rsidRDefault="00BD3657" w:rsidP="00F545BB">
            <w:pPr>
              <w:rPr>
                <w:rFonts w:eastAsia="Times New Roman" w:cs="Arial"/>
              </w:rPr>
            </w:pPr>
            <w:r w:rsidRPr="00FE5518">
              <w:rPr>
                <w:rFonts w:eastAsia="Times New Roman" w:cs="Arial"/>
              </w:rPr>
              <w:t>1</w:t>
            </w:r>
          </w:p>
        </w:tc>
        <w:tc>
          <w:tcPr>
            <w:tcW w:w="993" w:type="dxa"/>
          </w:tcPr>
          <w:p w14:paraId="4D0DC007" w14:textId="77777777" w:rsidR="00BD3657" w:rsidRPr="00FE5518" w:rsidRDefault="00BD3657" w:rsidP="00F545BB">
            <w:pPr>
              <w:rPr>
                <w:rFonts w:eastAsia="Times New Roman" w:cs="Arial"/>
              </w:rPr>
            </w:pPr>
            <w:r w:rsidRPr="00FE5518">
              <w:rPr>
                <w:rFonts w:eastAsia="Times New Roman" w:cs="Arial"/>
              </w:rPr>
              <w:t>RSO1.6</w:t>
            </w:r>
          </w:p>
        </w:tc>
        <w:tc>
          <w:tcPr>
            <w:tcW w:w="1133" w:type="dxa"/>
          </w:tcPr>
          <w:p w14:paraId="238CAC74" w14:textId="77777777" w:rsidR="00BD3657" w:rsidRPr="00FE5518" w:rsidRDefault="00BD3657" w:rsidP="00F545BB">
            <w:pPr>
              <w:rPr>
                <w:rFonts w:eastAsia="Times New Roman" w:cs="Arial"/>
              </w:rPr>
            </w:pPr>
            <w:r w:rsidRPr="00FE5518">
              <w:rPr>
                <w:rFonts w:eastAsia="Times New Roman" w:cs="Arial"/>
              </w:rPr>
              <w:t>ESRR</w:t>
            </w:r>
          </w:p>
        </w:tc>
        <w:tc>
          <w:tcPr>
            <w:tcW w:w="1843" w:type="dxa"/>
          </w:tcPr>
          <w:p w14:paraId="66C0A4CC" w14:textId="77777777" w:rsidR="00BD3657" w:rsidRPr="00FE5518" w:rsidRDefault="00BD3657" w:rsidP="00F545BB">
            <w:pPr>
              <w:rPr>
                <w:rFonts w:eastAsia="Times New Roman" w:cs="Arial"/>
              </w:rPr>
            </w:pPr>
            <w:r w:rsidRPr="00FE5518">
              <w:rPr>
                <w:rFonts w:eastAsia="Times New Roman" w:cs="Arial"/>
              </w:rPr>
              <w:t>Bolj razvite regije</w:t>
            </w:r>
          </w:p>
        </w:tc>
        <w:tc>
          <w:tcPr>
            <w:tcW w:w="992" w:type="dxa"/>
          </w:tcPr>
          <w:p w14:paraId="077F0AF7" w14:textId="77777777" w:rsidR="00BD3657" w:rsidRPr="00FE5518" w:rsidRDefault="00BD3657" w:rsidP="00F545BB">
            <w:pPr>
              <w:rPr>
                <w:rFonts w:eastAsia="Times New Roman" w:cs="Arial"/>
              </w:rPr>
            </w:pPr>
            <w:r w:rsidRPr="00FE5518">
              <w:rPr>
                <w:rFonts w:eastAsia="Times New Roman" w:cs="Arial"/>
              </w:rPr>
              <w:t>RCR 03</w:t>
            </w:r>
          </w:p>
        </w:tc>
        <w:tc>
          <w:tcPr>
            <w:tcW w:w="3969" w:type="dxa"/>
          </w:tcPr>
          <w:p w14:paraId="2FD46BF1" w14:textId="77777777" w:rsidR="00BD3657" w:rsidRPr="00FE5518" w:rsidRDefault="00BD3657" w:rsidP="00F545BB">
            <w:pPr>
              <w:jc w:val="both"/>
              <w:rPr>
                <w:rFonts w:eastAsia="Times New Roman" w:cs="Arial"/>
              </w:rPr>
            </w:pPr>
            <w:r w:rsidRPr="00FE5518">
              <w:rPr>
                <w:rFonts w:eastAsia="Times New Roman" w:cs="Arial"/>
              </w:rPr>
              <w:t>Mala in srednja podjetja (MSP), ki uvajajo inovacije pri proizvodih ali procesih</w:t>
            </w:r>
          </w:p>
        </w:tc>
        <w:tc>
          <w:tcPr>
            <w:tcW w:w="1359" w:type="dxa"/>
          </w:tcPr>
          <w:p w14:paraId="033DB799" w14:textId="77777777" w:rsidR="00BD3657" w:rsidRPr="00FE5518" w:rsidRDefault="00BD3657" w:rsidP="00F545BB">
            <w:pPr>
              <w:rPr>
                <w:rFonts w:eastAsia="Times New Roman" w:cs="Arial"/>
              </w:rPr>
            </w:pPr>
            <w:r w:rsidRPr="00FE5518">
              <w:rPr>
                <w:rFonts w:eastAsia="Times New Roman" w:cs="Arial"/>
              </w:rPr>
              <w:t>podjetja</w:t>
            </w:r>
          </w:p>
        </w:tc>
        <w:tc>
          <w:tcPr>
            <w:tcW w:w="909" w:type="dxa"/>
          </w:tcPr>
          <w:p w14:paraId="71B92126" w14:textId="77777777" w:rsidR="00BD3657" w:rsidRPr="00FE5518" w:rsidRDefault="00BD3657" w:rsidP="00F545BB">
            <w:pPr>
              <w:rPr>
                <w:rFonts w:eastAsia="Times New Roman" w:cs="Arial"/>
              </w:rPr>
            </w:pPr>
            <w:r w:rsidRPr="00FE5518">
              <w:rPr>
                <w:rFonts w:eastAsia="Times New Roman" w:cs="Arial"/>
              </w:rPr>
              <w:t>/</w:t>
            </w:r>
          </w:p>
        </w:tc>
        <w:tc>
          <w:tcPr>
            <w:tcW w:w="1134" w:type="dxa"/>
          </w:tcPr>
          <w:p w14:paraId="6639B454" w14:textId="77777777" w:rsidR="00BD3657" w:rsidRPr="00FE5518" w:rsidRDefault="00BD3657" w:rsidP="00F545BB">
            <w:pPr>
              <w:rPr>
                <w:rFonts w:eastAsia="Times New Roman" w:cs="Arial"/>
              </w:rPr>
            </w:pPr>
            <w:r>
              <w:rPr>
                <w:rFonts w:eastAsia="Times New Roman" w:cs="Arial"/>
              </w:rPr>
              <w:t>13</w:t>
            </w:r>
          </w:p>
        </w:tc>
      </w:tr>
      <w:tr w:rsidR="00BD3657" w:rsidRPr="00FE5518" w14:paraId="597C880E" w14:textId="77777777" w:rsidTr="006059E7">
        <w:tc>
          <w:tcPr>
            <w:tcW w:w="1276" w:type="dxa"/>
          </w:tcPr>
          <w:p w14:paraId="64CE25D9" w14:textId="77777777" w:rsidR="00BD3657" w:rsidRPr="00FE5518" w:rsidRDefault="00BD3657" w:rsidP="00F545BB">
            <w:pPr>
              <w:rPr>
                <w:rFonts w:eastAsia="Times New Roman" w:cs="Arial"/>
              </w:rPr>
            </w:pPr>
            <w:r w:rsidRPr="00FE5518">
              <w:rPr>
                <w:rFonts w:eastAsia="Times New Roman" w:cs="Arial"/>
              </w:rPr>
              <w:t>1</w:t>
            </w:r>
          </w:p>
        </w:tc>
        <w:tc>
          <w:tcPr>
            <w:tcW w:w="993" w:type="dxa"/>
          </w:tcPr>
          <w:p w14:paraId="538EDB5C" w14:textId="77777777" w:rsidR="00BD3657" w:rsidRPr="00FE5518" w:rsidRDefault="00BD3657" w:rsidP="00F545BB">
            <w:pPr>
              <w:rPr>
                <w:rFonts w:eastAsia="Times New Roman" w:cs="Arial"/>
              </w:rPr>
            </w:pPr>
            <w:r w:rsidRPr="00FE5518">
              <w:rPr>
                <w:rFonts w:eastAsia="Times New Roman" w:cs="Arial"/>
              </w:rPr>
              <w:t>RSO1.6</w:t>
            </w:r>
          </w:p>
        </w:tc>
        <w:tc>
          <w:tcPr>
            <w:tcW w:w="1133" w:type="dxa"/>
          </w:tcPr>
          <w:p w14:paraId="2A8236FC" w14:textId="77777777" w:rsidR="00BD3657" w:rsidRPr="00FE5518" w:rsidRDefault="00BD3657" w:rsidP="00F545BB">
            <w:pPr>
              <w:rPr>
                <w:rFonts w:eastAsia="Times New Roman" w:cs="Arial"/>
              </w:rPr>
            </w:pPr>
            <w:r w:rsidRPr="00FE5518">
              <w:rPr>
                <w:rFonts w:eastAsia="Times New Roman" w:cs="Arial"/>
              </w:rPr>
              <w:t>ESRR</w:t>
            </w:r>
          </w:p>
        </w:tc>
        <w:tc>
          <w:tcPr>
            <w:tcW w:w="1843" w:type="dxa"/>
          </w:tcPr>
          <w:p w14:paraId="60841DDD" w14:textId="77777777" w:rsidR="00BD3657" w:rsidRPr="00FE5518" w:rsidRDefault="00BD3657" w:rsidP="00F545BB">
            <w:pPr>
              <w:rPr>
                <w:rFonts w:eastAsia="Times New Roman" w:cs="Arial"/>
              </w:rPr>
            </w:pPr>
            <w:r w:rsidRPr="00FE5518">
              <w:rPr>
                <w:rFonts w:eastAsia="Times New Roman" w:cs="Arial"/>
              </w:rPr>
              <w:t>Bolj razvite regije</w:t>
            </w:r>
          </w:p>
        </w:tc>
        <w:tc>
          <w:tcPr>
            <w:tcW w:w="992" w:type="dxa"/>
          </w:tcPr>
          <w:p w14:paraId="477A8997" w14:textId="77777777" w:rsidR="00BD3657" w:rsidRPr="00FE5518" w:rsidRDefault="00BD3657" w:rsidP="00F545BB">
            <w:pPr>
              <w:rPr>
                <w:rFonts w:eastAsia="Times New Roman" w:cs="Arial"/>
              </w:rPr>
            </w:pPr>
            <w:r w:rsidRPr="00FE5518">
              <w:rPr>
                <w:rFonts w:eastAsia="Times New Roman" w:cs="Arial"/>
              </w:rPr>
              <w:t>RCR 06</w:t>
            </w:r>
          </w:p>
        </w:tc>
        <w:tc>
          <w:tcPr>
            <w:tcW w:w="3969" w:type="dxa"/>
          </w:tcPr>
          <w:p w14:paraId="42FD4BAF" w14:textId="77777777" w:rsidR="00BD3657" w:rsidRPr="00FE5518" w:rsidRDefault="00BD3657" w:rsidP="00F545BB">
            <w:pPr>
              <w:jc w:val="both"/>
              <w:rPr>
                <w:rFonts w:eastAsia="Times New Roman" w:cs="Arial"/>
              </w:rPr>
            </w:pPr>
            <w:r w:rsidRPr="00FE5518">
              <w:rPr>
                <w:rFonts w:eastAsia="Times New Roman" w:cs="Arial"/>
              </w:rPr>
              <w:t>Vložene patentne prijave</w:t>
            </w:r>
          </w:p>
        </w:tc>
        <w:tc>
          <w:tcPr>
            <w:tcW w:w="1359" w:type="dxa"/>
          </w:tcPr>
          <w:p w14:paraId="0A4D4CA6" w14:textId="77777777" w:rsidR="00BD3657" w:rsidRPr="00FE5518" w:rsidRDefault="00BD3657" w:rsidP="00F545BB">
            <w:pPr>
              <w:rPr>
                <w:rFonts w:eastAsia="Times New Roman" w:cs="Arial"/>
              </w:rPr>
            </w:pPr>
            <w:r w:rsidRPr="00FE5518">
              <w:rPr>
                <w:rFonts w:eastAsia="Times New Roman" w:cs="Arial"/>
              </w:rPr>
              <w:t>vloge za patente</w:t>
            </w:r>
          </w:p>
        </w:tc>
        <w:tc>
          <w:tcPr>
            <w:tcW w:w="909" w:type="dxa"/>
          </w:tcPr>
          <w:p w14:paraId="52822823" w14:textId="77777777" w:rsidR="00BD3657" w:rsidRPr="00FE5518" w:rsidRDefault="00BD3657" w:rsidP="00F545BB">
            <w:pPr>
              <w:rPr>
                <w:rFonts w:eastAsia="Times New Roman" w:cs="Arial"/>
              </w:rPr>
            </w:pPr>
            <w:r w:rsidRPr="00FE5518">
              <w:rPr>
                <w:rFonts w:eastAsia="Times New Roman" w:cs="Arial"/>
              </w:rPr>
              <w:t>/</w:t>
            </w:r>
          </w:p>
        </w:tc>
        <w:tc>
          <w:tcPr>
            <w:tcW w:w="1134" w:type="dxa"/>
          </w:tcPr>
          <w:p w14:paraId="664AAA84" w14:textId="3B748880" w:rsidR="00BD3657" w:rsidRPr="001C58EB" w:rsidRDefault="00BD3657" w:rsidP="00F545BB">
            <w:pPr>
              <w:rPr>
                <w:rFonts w:eastAsia="Times New Roman" w:cs="Arial"/>
              </w:rPr>
            </w:pPr>
            <w:r w:rsidRPr="001C58EB">
              <w:rPr>
                <w:rFonts w:eastAsia="Times New Roman" w:cs="Arial"/>
              </w:rPr>
              <w:t>2</w:t>
            </w:r>
          </w:p>
        </w:tc>
      </w:tr>
    </w:tbl>
    <w:p w14:paraId="3FD8F074" w14:textId="77777777" w:rsidR="0011459E" w:rsidRDefault="0011459E" w:rsidP="0011459E">
      <w:pPr>
        <w:spacing w:after="0" w:line="240" w:lineRule="auto"/>
        <w:ind w:left="360"/>
      </w:pPr>
    </w:p>
    <w:p w14:paraId="21D63DC5" w14:textId="1ACD640B" w:rsidR="007D6A65" w:rsidRPr="00F67098" w:rsidRDefault="007D6A65" w:rsidP="007D6A65">
      <w:pPr>
        <w:pStyle w:val="Napis"/>
        <w:keepNext/>
        <w:spacing w:after="0"/>
        <w:rPr>
          <w:i w:val="0"/>
          <w:iCs w:val="0"/>
          <w:color w:val="auto"/>
          <w:sz w:val="20"/>
          <w:szCs w:val="20"/>
        </w:rPr>
      </w:pPr>
      <w:bookmarkStart w:id="78" w:name="_Toc191459960"/>
      <w:r w:rsidRPr="00F67098">
        <w:rPr>
          <w:i w:val="0"/>
          <w:iCs w:val="0"/>
          <w:color w:val="auto"/>
          <w:sz w:val="20"/>
          <w:szCs w:val="20"/>
        </w:rPr>
        <w:t xml:space="preserve">Tabela </w:t>
      </w:r>
      <w:r w:rsidRPr="00F67098">
        <w:rPr>
          <w:i w:val="0"/>
          <w:iCs w:val="0"/>
          <w:color w:val="auto"/>
          <w:sz w:val="20"/>
          <w:szCs w:val="20"/>
        </w:rPr>
        <w:fldChar w:fldCharType="begin"/>
      </w:r>
      <w:r w:rsidRPr="00F67098">
        <w:rPr>
          <w:i w:val="0"/>
          <w:iCs w:val="0"/>
          <w:color w:val="auto"/>
          <w:sz w:val="20"/>
          <w:szCs w:val="20"/>
        </w:rPr>
        <w:instrText xml:space="preserve"> SEQ Tabela \* ARABIC </w:instrText>
      </w:r>
      <w:r w:rsidRPr="00F67098">
        <w:rPr>
          <w:i w:val="0"/>
          <w:iCs w:val="0"/>
          <w:color w:val="auto"/>
          <w:sz w:val="20"/>
          <w:szCs w:val="20"/>
        </w:rPr>
        <w:fldChar w:fldCharType="separate"/>
      </w:r>
      <w:r w:rsidR="00784805">
        <w:rPr>
          <w:i w:val="0"/>
          <w:iCs w:val="0"/>
          <w:noProof/>
          <w:color w:val="auto"/>
          <w:sz w:val="20"/>
          <w:szCs w:val="20"/>
        </w:rPr>
        <w:t>16</w:t>
      </w:r>
      <w:r w:rsidRPr="00F67098">
        <w:rPr>
          <w:i w:val="0"/>
          <w:iCs w:val="0"/>
          <w:color w:val="auto"/>
          <w:sz w:val="20"/>
          <w:szCs w:val="20"/>
        </w:rPr>
        <w:fldChar w:fldCharType="end"/>
      </w:r>
      <w:r w:rsidRPr="00F67098">
        <w:rPr>
          <w:i w:val="0"/>
          <w:iCs w:val="0"/>
          <w:color w:val="auto"/>
          <w:sz w:val="20"/>
          <w:szCs w:val="20"/>
        </w:rPr>
        <w:t>: Identificirane možne kode za razsežnost 1</w:t>
      </w:r>
      <w:bookmarkEnd w:id="78"/>
    </w:p>
    <w:p w14:paraId="7C63DB4A" w14:textId="77777777" w:rsidR="007D6A65" w:rsidRPr="007D6A65" w:rsidRDefault="007D6A65" w:rsidP="007D6A65">
      <w:pPr>
        <w:spacing w:after="0"/>
      </w:pPr>
    </w:p>
    <w:tbl>
      <w:tblPr>
        <w:tblStyle w:val="Tabelamrea3"/>
        <w:tblW w:w="13603" w:type="dxa"/>
        <w:tblLook w:val="04A0" w:firstRow="1" w:lastRow="0" w:firstColumn="1" w:lastColumn="0" w:noHBand="0" w:noVBand="1"/>
      </w:tblPr>
      <w:tblGrid>
        <w:gridCol w:w="1239"/>
        <w:gridCol w:w="1125"/>
        <w:gridCol w:w="1128"/>
        <w:gridCol w:w="1323"/>
        <w:gridCol w:w="6961"/>
        <w:gridCol w:w="1827"/>
      </w:tblGrid>
      <w:tr w:rsidR="0011459E" w:rsidRPr="00FE5518" w14:paraId="40419418" w14:textId="77777777" w:rsidTr="006059E7">
        <w:tc>
          <w:tcPr>
            <w:tcW w:w="1239" w:type="dxa"/>
            <w:shd w:val="clear" w:color="auto" w:fill="D9E2F3" w:themeFill="accent1" w:themeFillTint="33"/>
          </w:tcPr>
          <w:p w14:paraId="4D8281B3" w14:textId="77777777" w:rsidR="0011459E" w:rsidRPr="00FE5518" w:rsidRDefault="0011459E" w:rsidP="0011459E">
            <w:pPr>
              <w:rPr>
                <w:rFonts w:eastAsia="Times New Roman" w:cs="Arial"/>
              </w:rPr>
            </w:pPr>
            <w:r w:rsidRPr="00FE5518">
              <w:rPr>
                <w:rFonts w:eastAsia="Times New Roman" w:cs="Arial"/>
              </w:rPr>
              <w:t>Prednostna naloga</w:t>
            </w:r>
          </w:p>
        </w:tc>
        <w:tc>
          <w:tcPr>
            <w:tcW w:w="1125" w:type="dxa"/>
            <w:shd w:val="clear" w:color="auto" w:fill="D9E2F3" w:themeFill="accent1" w:themeFillTint="33"/>
          </w:tcPr>
          <w:p w14:paraId="22B685AC" w14:textId="77777777" w:rsidR="0011459E" w:rsidRPr="00FE5518" w:rsidRDefault="0011459E" w:rsidP="0011459E">
            <w:pPr>
              <w:rPr>
                <w:rFonts w:eastAsia="Times New Roman" w:cs="Arial"/>
              </w:rPr>
            </w:pPr>
            <w:r w:rsidRPr="00FE5518">
              <w:rPr>
                <w:rFonts w:eastAsia="Times New Roman" w:cs="Arial"/>
              </w:rPr>
              <w:t>Specifični cilj</w:t>
            </w:r>
          </w:p>
        </w:tc>
        <w:tc>
          <w:tcPr>
            <w:tcW w:w="1128" w:type="dxa"/>
            <w:shd w:val="clear" w:color="auto" w:fill="D9E2F3" w:themeFill="accent1" w:themeFillTint="33"/>
          </w:tcPr>
          <w:p w14:paraId="4F32EE07" w14:textId="77777777" w:rsidR="0011459E" w:rsidRPr="00FE5518" w:rsidRDefault="0011459E" w:rsidP="0011459E">
            <w:pPr>
              <w:rPr>
                <w:rFonts w:eastAsia="Times New Roman" w:cs="Arial"/>
              </w:rPr>
            </w:pPr>
            <w:r w:rsidRPr="00FE5518">
              <w:rPr>
                <w:rFonts w:eastAsia="Times New Roman" w:cs="Arial"/>
              </w:rPr>
              <w:t>Sklad</w:t>
            </w:r>
          </w:p>
        </w:tc>
        <w:tc>
          <w:tcPr>
            <w:tcW w:w="1323" w:type="dxa"/>
            <w:shd w:val="clear" w:color="auto" w:fill="D9E2F3" w:themeFill="accent1" w:themeFillTint="33"/>
          </w:tcPr>
          <w:p w14:paraId="6FE25483" w14:textId="77777777" w:rsidR="0011459E" w:rsidRPr="00FE5518" w:rsidRDefault="0011459E" w:rsidP="0011459E">
            <w:pPr>
              <w:rPr>
                <w:rFonts w:eastAsia="Times New Roman" w:cs="Arial"/>
              </w:rPr>
            </w:pPr>
            <w:r w:rsidRPr="00FE5518">
              <w:rPr>
                <w:rFonts w:eastAsia="Times New Roman" w:cs="Arial"/>
              </w:rPr>
              <w:t>Kategorija regije</w:t>
            </w:r>
          </w:p>
        </w:tc>
        <w:tc>
          <w:tcPr>
            <w:tcW w:w="6961" w:type="dxa"/>
            <w:shd w:val="clear" w:color="auto" w:fill="D9E2F3" w:themeFill="accent1" w:themeFillTint="33"/>
          </w:tcPr>
          <w:p w14:paraId="58D11ADA" w14:textId="77777777" w:rsidR="0011459E" w:rsidRPr="00FE5518" w:rsidRDefault="0011459E" w:rsidP="0011459E">
            <w:pPr>
              <w:rPr>
                <w:rFonts w:eastAsia="Times New Roman" w:cs="Arial"/>
              </w:rPr>
            </w:pPr>
            <w:r w:rsidRPr="00FE5518">
              <w:rPr>
                <w:rFonts w:eastAsia="Times New Roman" w:cs="Arial"/>
              </w:rPr>
              <w:t>Oznaka</w:t>
            </w:r>
          </w:p>
        </w:tc>
        <w:tc>
          <w:tcPr>
            <w:tcW w:w="1827" w:type="dxa"/>
            <w:shd w:val="clear" w:color="auto" w:fill="D9E2F3" w:themeFill="accent1" w:themeFillTint="33"/>
          </w:tcPr>
          <w:p w14:paraId="6900015F" w14:textId="77777777" w:rsidR="0011459E" w:rsidRPr="00FE5518" w:rsidRDefault="0011459E" w:rsidP="0011459E">
            <w:pPr>
              <w:rPr>
                <w:rFonts w:eastAsia="Times New Roman" w:cs="Arial"/>
              </w:rPr>
            </w:pPr>
            <w:r w:rsidRPr="00FE5518">
              <w:rPr>
                <w:rFonts w:eastAsia="Times New Roman" w:cs="Arial"/>
              </w:rPr>
              <w:t>Znesek (v EUR)</w:t>
            </w:r>
          </w:p>
        </w:tc>
      </w:tr>
      <w:tr w:rsidR="0011459E" w:rsidRPr="00FE5518" w14:paraId="0AA99930" w14:textId="77777777" w:rsidTr="006059E7">
        <w:tc>
          <w:tcPr>
            <w:tcW w:w="1239" w:type="dxa"/>
          </w:tcPr>
          <w:p w14:paraId="2EDB3CDA" w14:textId="77777777" w:rsidR="0011459E" w:rsidRPr="00FE5518" w:rsidRDefault="0011459E" w:rsidP="0011459E">
            <w:pPr>
              <w:rPr>
                <w:rFonts w:eastAsia="Times New Roman" w:cs="Arial"/>
              </w:rPr>
            </w:pPr>
            <w:r w:rsidRPr="00FE5518">
              <w:rPr>
                <w:rFonts w:eastAsia="Times New Roman" w:cs="Arial"/>
              </w:rPr>
              <w:t>1</w:t>
            </w:r>
          </w:p>
        </w:tc>
        <w:tc>
          <w:tcPr>
            <w:tcW w:w="1125" w:type="dxa"/>
          </w:tcPr>
          <w:p w14:paraId="2BBA52C2" w14:textId="77777777" w:rsidR="0011459E" w:rsidRPr="00FE5518" w:rsidRDefault="0011459E" w:rsidP="0011459E">
            <w:pPr>
              <w:rPr>
                <w:rFonts w:eastAsia="Times New Roman" w:cs="Arial"/>
              </w:rPr>
            </w:pPr>
            <w:r w:rsidRPr="00FE5518">
              <w:rPr>
                <w:rFonts w:eastAsia="Times New Roman" w:cs="Arial"/>
              </w:rPr>
              <w:t>RSO1.6</w:t>
            </w:r>
          </w:p>
        </w:tc>
        <w:tc>
          <w:tcPr>
            <w:tcW w:w="1128" w:type="dxa"/>
          </w:tcPr>
          <w:p w14:paraId="2605B4F8" w14:textId="77777777" w:rsidR="0011459E" w:rsidRPr="00FE5518" w:rsidRDefault="0011459E" w:rsidP="0011459E">
            <w:pPr>
              <w:rPr>
                <w:rFonts w:eastAsia="Times New Roman" w:cs="Arial"/>
              </w:rPr>
            </w:pPr>
            <w:r w:rsidRPr="00FE5518">
              <w:rPr>
                <w:rFonts w:eastAsia="Times New Roman" w:cs="Arial"/>
              </w:rPr>
              <w:t>ESRR</w:t>
            </w:r>
          </w:p>
        </w:tc>
        <w:tc>
          <w:tcPr>
            <w:tcW w:w="1323" w:type="dxa"/>
          </w:tcPr>
          <w:p w14:paraId="43FC556D" w14:textId="77777777" w:rsidR="0011459E" w:rsidRPr="00FE5518" w:rsidRDefault="0011459E" w:rsidP="0011459E">
            <w:pPr>
              <w:rPr>
                <w:rFonts w:eastAsia="Times New Roman" w:cs="Arial"/>
              </w:rPr>
            </w:pPr>
            <w:r w:rsidRPr="00FE5518">
              <w:rPr>
                <w:rFonts w:eastAsia="Times New Roman" w:cs="Arial"/>
              </w:rPr>
              <w:t>Bolj razvite regije</w:t>
            </w:r>
          </w:p>
        </w:tc>
        <w:tc>
          <w:tcPr>
            <w:tcW w:w="6961" w:type="dxa"/>
          </w:tcPr>
          <w:p w14:paraId="42660D71" w14:textId="77777777" w:rsidR="0011459E" w:rsidRPr="00D82F16" w:rsidRDefault="0011459E" w:rsidP="008A59C8">
            <w:pPr>
              <w:jc w:val="both"/>
              <w:rPr>
                <w:rFonts w:eastAsia="Times New Roman" w:cs="Arial"/>
              </w:rPr>
            </w:pPr>
            <w:r w:rsidRPr="00D82F16">
              <w:rPr>
                <w:rFonts w:eastAsia="Times New Roman" w:cs="Arial"/>
              </w:rPr>
              <w:t>004 Naložbe v osnovna sredstva, vključno v raziskovalno infrastrukturo, v javnih raziskovalnih središčih in terciarnem izobraževanju, ki so neposredno povezane z raziskovalnimi in inovacijskimi dejavnostmi</w:t>
            </w:r>
          </w:p>
        </w:tc>
        <w:tc>
          <w:tcPr>
            <w:tcW w:w="1827" w:type="dxa"/>
          </w:tcPr>
          <w:p w14:paraId="601E6F88" w14:textId="77777777" w:rsidR="0011459E" w:rsidRPr="00D82F16" w:rsidRDefault="0011459E" w:rsidP="0011459E">
            <w:pPr>
              <w:rPr>
                <w:rFonts w:eastAsia="Times New Roman" w:cs="Arial"/>
              </w:rPr>
            </w:pPr>
            <w:r w:rsidRPr="00D82F16">
              <w:rPr>
                <w:rFonts w:eastAsia="Times New Roman" w:cs="Arial"/>
              </w:rPr>
              <w:t>12.000.000</w:t>
            </w:r>
          </w:p>
        </w:tc>
      </w:tr>
      <w:tr w:rsidR="0011459E" w:rsidRPr="00FE5518" w14:paraId="122EE85A" w14:textId="77777777" w:rsidTr="006059E7">
        <w:tc>
          <w:tcPr>
            <w:tcW w:w="1239" w:type="dxa"/>
          </w:tcPr>
          <w:p w14:paraId="276685AE" w14:textId="77777777" w:rsidR="0011459E" w:rsidRPr="00FE5518" w:rsidRDefault="0011459E" w:rsidP="0011459E">
            <w:pPr>
              <w:rPr>
                <w:rFonts w:eastAsia="Times New Roman" w:cs="Arial"/>
              </w:rPr>
            </w:pPr>
            <w:r w:rsidRPr="00FE5518">
              <w:rPr>
                <w:rFonts w:eastAsia="Times New Roman" w:cs="Arial"/>
              </w:rPr>
              <w:t>1</w:t>
            </w:r>
          </w:p>
        </w:tc>
        <w:tc>
          <w:tcPr>
            <w:tcW w:w="1125" w:type="dxa"/>
          </w:tcPr>
          <w:p w14:paraId="23232361" w14:textId="77777777" w:rsidR="0011459E" w:rsidRPr="00FE5518" w:rsidRDefault="0011459E" w:rsidP="0011459E">
            <w:pPr>
              <w:rPr>
                <w:rFonts w:eastAsia="Times New Roman" w:cs="Arial"/>
              </w:rPr>
            </w:pPr>
            <w:r w:rsidRPr="00FE5518">
              <w:rPr>
                <w:rFonts w:eastAsia="Times New Roman" w:cs="Arial"/>
              </w:rPr>
              <w:t>RSO1.6</w:t>
            </w:r>
          </w:p>
        </w:tc>
        <w:tc>
          <w:tcPr>
            <w:tcW w:w="1128" w:type="dxa"/>
          </w:tcPr>
          <w:p w14:paraId="1610F870" w14:textId="77777777" w:rsidR="0011459E" w:rsidRPr="00FE5518" w:rsidRDefault="0011459E" w:rsidP="0011459E">
            <w:pPr>
              <w:rPr>
                <w:rFonts w:eastAsia="Times New Roman" w:cs="Arial"/>
              </w:rPr>
            </w:pPr>
            <w:r w:rsidRPr="00FE5518">
              <w:rPr>
                <w:rFonts w:eastAsia="Times New Roman" w:cs="Arial"/>
              </w:rPr>
              <w:t>ESRR</w:t>
            </w:r>
          </w:p>
        </w:tc>
        <w:tc>
          <w:tcPr>
            <w:tcW w:w="1323" w:type="dxa"/>
          </w:tcPr>
          <w:p w14:paraId="24179D02" w14:textId="77777777" w:rsidR="0011459E" w:rsidRPr="00FE5518" w:rsidRDefault="0011459E" w:rsidP="0011459E">
            <w:pPr>
              <w:rPr>
                <w:rFonts w:eastAsia="Times New Roman" w:cs="Arial"/>
              </w:rPr>
            </w:pPr>
            <w:r w:rsidRPr="00FE5518">
              <w:rPr>
                <w:rFonts w:eastAsia="Times New Roman" w:cs="Arial"/>
              </w:rPr>
              <w:t>Bolj razvite regije</w:t>
            </w:r>
          </w:p>
        </w:tc>
        <w:tc>
          <w:tcPr>
            <w:tcW w:w="6961" w:type="dxa"/>
          </w:tcPr>
          <w:p w14:paraId="38EF11AC" w14:textId="77777777" w:rsidR="0011459E" w:rsidRPr="00D82F16" w:rsidRDefault="0011459E" w:rsidP="008A59C8">
            <w:pPr>
              <w:jc w:val="both"/>
              <w:rPr>
                <w:rFonts w:eastAsia="Times New Roman" w:cs="Arial"/>
              </w:rPr>
            </w:pPr>
            <w:r w:rsidRPr="00D82F16">
              <w:rPr>
                <w:rFonts w:eastAsia="Times New Roman" w:cs="Arial"/>
              </w:rPr>
              <w:t>010 Raziskovalne in inovacijske dejavnosti v MSP, vključno z mreženjem</w:t>
            </w:r>
          </w:p>
        </w:tc>
        <w:tc>
          <w:tcPr>
            <w:tcW w:w="1827" w:type="dxa"/>
          </w:tcPr>
          <w:p w14:paraId="4685B2F3" w14:textId="1E6A9D34" w:rsidR="0011459E" w:rsidRPr="00D82F16" w:rsidRDefault="00BD3657" w:rsidP="0011459E">
            <w:pPr>
              <w:rPr>
                <w:rFonts w:eastAsia="Times New Roman" w:cs="Arial"/>
              </w:rPr>
            </w:pPr>
            <w:r w:rsidRPr="00D82F16">
              <w:rPr>
                <w:rFonts w:eastAsia="Times New Roman" w:cs="Arial"/>
              </w:rPr>
              <w:t>14.630.000</w:t>
            </w:r>
          </w:p>
        </w:tc>
      </w:tr>
      <w:tr w:rsidR="0011459E" w:rsidRPr="00FE5518" w14:paraId="1C90D4A9" w14:textId="77777777" w:rsidTr="006059E7">
        <w:tc>
          <w:tcPr>
            <w:tcW w:w="1239" w:type="dxa"/>
          </w:tcPr>
          <w:p w14:paraId="2C947088" w14:textId="77777777" w:rsidR="0011459E" w:rsidRPr="00FE5518" w:rsidRDefault="0011459E" w:rsidP="0011459E">
            <w:pPr>
              <w:rPr>
                <w:rFonts w:eastAsia="Times New Roman" w:cs="Arial"/>
              </w:rPr>
            </w:pPr>
            <w:r w:rsidRPr="00FE5518">
              <w:rPr>
                <w:rFonts w:eastAsia="Times New Roman" w:cs="Arial"/>
              </w:rPr>
              <w:t>1</w:t>
            </w:r>
          </w:p>
        </w:tc>
        <w:tc>
          <w:tcPr>
            <w:tcW w:w="1125" w:type="dxa"/>
          </w:tcPr>
          <w:p w14:paraId="55ADCED9" w14:textId="77777777" w:rsidR="0011459E" w:rsidRPr="00FE5518" w:rsidRDefault="0011459E" w:rsidP="0011459E">
            <w:pPr>
              <w:rPr>
                <w:rFonts w:eastAsia="Times New Roman" w:cs="Arial"/>
              </w:rPr>
            </w:pPr>
            <w:r w:rsidRPr="00FE5518">
              <w:rPr>
                <w:rFonts w:eastAsia="Times New Roman" w:cs="Arial"/>
              </w:rPr>
              <w:t>RSO1.6</w:t>
            </w:r>
          </w:p>
        </w:tc>
        <w:tc>
          <w:tcPr>
            <w:tcW w:w="1128" w:type="dxa"/>
          </w:tcPr>
          <w:p w14:paraId="07E53294" w14:textId="77777777" w:rsidR="0011459E" w:rsidRPr="00FE5518" w:rsidRDefault="0011459E" w:rsidP="0011459E">
            <w:pPr>
              <w:rPr>
                <w:rFonts w:eastAsia="Times New Roman" w:cs="Arial"/>
              </w:rPr>
            </w:pPr>
            <w:r w:rsidRPr="00FE5518">
              <w:rPr>
                <w:rFonts w:eastAsia="Times New Roman" w:cs="Arial"/>
              </w:rPr>
              <w:t>ESRR</w:t>
            </w:r>
          </w:p>
        </w:tc>
        <w:tc>
          <w:tcPr>
            <w:tcW w:w="1323" w:type="dxa"/>
          </w:tcPr>
          <w:p w14:paraId="7ED1FFC6" w14:textId="77777777" w:rsidR="0011459E" w:rsidRPr="00FE5518" w:rsidRDefault="0011459E" w:rsidP="0011459E">
            <w:pPr>
              <w:rPr>
                <w:rFonts w:eastAsia="Times New Roman" w:cs="Arial"/>
              </w:rPr>
            </w:pPr>
            <w:r w:rsidRPr="00FE5518">
              <w:rPr>
                <w:rFonts w:eastAsia="Times New Roman" w:cs="Arial"/>
              </w:rPr>
              <w:t>Bolj razvite regije</w:t>
            </w:r>
          </w:p>
        </w:tc>
        <w:tc>
          <w:tcPr>
            <w:tcW w:w="6961" w:type="dxa"/>
          </w:tcPr>
          <w:p w14:paraId="594E4EFB" w14:textId="77777777" w:rsidR="0011459E" w:rsidRPr="00D82F16" w:rsidRDefault="0011459E" w:rsidP="008A59C8">
            <w:pPr>
              <w:jc w:val="both"/>
              <w:rPr>
                <w:rFonts w:eastAsia="Times New Roman" w:cs="Arial"/>
              </w:rPr>
            </w:pPr>
            <w:r w:rsidRPr="00D82F16">
              <w:rPr>
                <w:rFonts w:eastAsia="Times New Roman" w:cs="Arial"/>
              </w:rPr>
              <w:t>011 Raziskovalne in inovacijske dejavnosti v velikih podjetjih, vključno z mreženjem</w:t>
            </w:r>
          </w:p>
        </w:tc>
        <w:tc>
          <w:tcPr>
            <w:tcW w:w="1827" w:type="dxa"/>
          </w:tcPr>
          <w:p w14:paraId="2C38DD5C" w14:textId="7B1D997F" w:rsidR="0011459E" w:rsidRPr="00D82F16" w:rsidRDefault="00BD3657" w:rsidP="0011459E">
            <w:pPr>
              <w:rPr>
                <w:rFonts w:eastAsia="Times New Roman" w:cs="Arial"/>
              </w:rPr>
            </w:pPr>
            <w:r w:rsidRPr="00D82F16">
              <w:rPr>
                <w:rFonts w:eastAsia="Times New Roman" w:cs="Arial"/>
              </w:rPr>
              <w:t>7.140.000</w:t>
            </w:r>
          </w:p>
        </w:tc>
      </w:tr>
      <w:tr w:rsidR="0011459E" w:rsidRPr="00FE5518" w14:paraId="54C0F7A5" w14:textId="77777777" w:rsidTr="006059E7">
        <w:tc>
          <w:tcPr>
            <w:tcW w:w="1239" w:type="dxa"/>
          </w:tcPr>
          <w:p w14:paraId="7B3B20BF" w14:textId="77777777" w:rsidR="0011459E" w:rsidRPr="00FE5518" w:rsidRDefault="0011459E" w:rsidP="0011459E">
            <w:pPr>
              <w:rPr>
                <w:rFonts w:eastAsia="Times New Roman" w:cs="Arial"/>
              </w:rPr>
            </w:pPr>
            <w:r w:rsidRPr="00FE5518">
              <w:rPr>
                <w:rFonts w:eastAsia="Times New Roman" w:cs="Arial"/>
              </w:rPr>
              <w:t>1</w:t>
            </w:r>
          </w:p>
        </w:tc>
        <w:tc>
          <w:tcPr>
            <w:tcW w:w="1125" w:type="dxa"/>
          </w:tcPr>
          <w:p w14:paraId="266438EC" w14:textId="77777777" w:rsidR="0011459E" w:rsidRPr="00FE5518" w:rsidRDefault="0011459E" w:rsidP="0011459E">
            <w:pPr>
              <w:rPr>
                <w:rFonts w:eastAsia="Times New Roman" w:cs="Arial"/>
              </w:rPr>
            </w:pPr>
            <w:r w:rsidRPr="00FE5518">
              <w:rPr>
                <w:rFonts w:eastAsia="Times New Roman" w:cs="Arial"/>
              </w:rPr>
              <w:t>RSO1.6</w:t>
            </w:r>
          </w:p>
        </w:tc>
        <w:tc>
          <w:tcPr>
            <w:tcW w:w="1128" w:type="dxa"/>
          </w:tcPr>
          <w:p w14:paraId="6DE8812F" w14:textId="77777777" w:rsidR="0011459E" w:rsidRPr="00FE5518" w:rsidRDefault="0011459E" w:rsidP="0011459E">
            <w:pPr>
              <w:rPr>
                <w:rFonts w:eastAsia="Times New Roman" w:cs="Arial"/>
              </w:rPr>
            </w:pPr>
            <w:r w:rsidRPr="00FE5518">
              <w:rPr>
                <w:rFonts w:eastAsia="Times New Roman" w:cs="Arial"/>
              </w:rPr>
              <w:t>ESRR</w:t>
            </w:r>
          </w:p>
        </w:tc>
        <w:tc>
          <w:tcPr>
            <w:tcW w:w="1323" w:type="dxa"/>
          </w:tcPr>
          <w:p w14:paraId="0BB0E4E9" w14:textId="77777777" w:rsidR="0011459E" w:rsidRPr="00FE5518" w:rsidRDefault="0011459E" w:rsidP="0011459E">
            <w:pPr>
              <w:rPr>
                <w:rFonts w:eastAsia="Times New Roman" w:cs="Arial"/>
              </w:rPr>
            </w:pPr>
            <w:r w:rsidRPr="00FE5518">
              <w:rPr>
                <w:rFonts w:eastAsia="Times New Roman" w:cs="Arial"/>
              </w:rPr>
              <w:t>Bolj razvite regije</w:t>
            </w:r>
          </w:p>
        </w:tc>
        <w:tc>
          <w:tcPr>
            <w:tcW w:w="6961" w:type="dxa"/>
          </w:tcPr>
          <w:p w14:paraId="1C4A6370" w14:textId="77777777" w:rsidR="0011459E" w:rsidRPr="00D82F16" w:rsidRDefault="0011459E" w:rsidP="008A59C8">
            <w:pPr>
              <w:jc w:val="both"/>
              <w:rPr>
                <w:rFonts w:eastAsia="Times New Roman" w:cs="Arial"/>
              </w:rPr>
            </w:pPr>
            <w:r w:rsidRPr="00D82F16">
              <w:rPr>
                <w:rFonts w:eastAsia="Times New Roman" w:cs="Arial"/>
              </w:rPr>
              <w:t>012 Raziskovalne in inovacijske dejavnosti v javnih raziskovalnih središčih, terciarnem izobraževanju in kompetenčnih središčih, vključno z mreženjem (industrijske raziskave, eksperimentalni razvoj, študije izvedljivosti)</w:t>
            </w:r>
          </w:p>
        </w:tc>
        <w:tc>
          <w:tcPr>
            <w:tcW w:w="1827" w:type="dxa"/>
          </w:tcPr>
          <w:p w14:paraId="6CD57A47" w14:textId="77777777" w:rsidR="0011459E" w:rsidRPr="00D82F16" w:rsidRDefault="0011459E" w:rsidP="0011459E">
            <w:pPr>
              <w:rPr>
                <w:rFonts w:eastAsia="Times New Roman" w:cs="Arial"/>
              </w:rPr>
            </w:pPr>
            <w:r w:rsidRPr="00D82F16">
              <w:rPr>
                <w:rFonts w:eastAsia="Times New Roman" w:cs="Arial"/>
              </w:rPr>
              <w:t>8.000.000</w:t>
            </w:r>
          </w:p>
        </w:tc>
      </w:tr>
      <w:tr w:rsidR="0011459E" w:rsidRPr="00FE5518" w14:paraId="1E9BA8CA" w14:textId="77777777" w:rsidTr="006059E7">
        <w:trPr>
          <w:trHeight w:val="300"/>
        </w:trPr>
        <w:tc>
          <w:tcPr>
            <w:tcW w:w="1239" w:type="dxa"/>
          </w:tcPr>
          <w:p w14:paraId="09E9468B" w14:textId="77777777" w:rsidR="0011459E" w:rsidRPr="00FE5518" w:rsidRDefault="0011459E" w:rsidP="0011459E">
            <w:pPr>
              <w:rPr>
                <w:rFonts w:eastAsia="Times New Roman" w:cs="Arial"/>
              </w:rPr>
            </w:pPr>
            <w:r w:rsidRPr="00FE5518">
              <w:rPr>
                <w:rFonts w:eastAsia="Times New Roman" w:cs="Arial"/>
              </w:rPr>
              <w:t>1</w:t>
            </w:r>
          </w:p>
        </w:tc>
        <w:tc>
          <w:tcPr>
            <w:tcW w:w="1125" w:type="dxa"/>
          </w:tcPr>
          <w:p w14:paraId="5543EE8E" w14:textId="77777777" w:rsidR="0011459E" w:rsidRPr="00FE5518" w:rsidRDefault="0011459E" w:rsidP="0011459E">
            <w:pPr>
              <w:rPr>
                <w:rFonts w:eastAsia="Times New Roman" w:cs="Arial"/>
              </w:rPr>
            </w:pPr>
            <w:r w:rsidRPr="00FE5518">
              <w:rPr>
                <w:rFonts w:eastAsia="Times New Roman" w:cs="Arial"/>
              </w:rPr>
              <w:t>RSO1.6</w:t>
            </w:r>
          </w:p>
        </w:tc>
        <w:tc>
          <w:tcPr>
            <w:tcW w:w="1128" w:type="dxa"/>
          </w:tcPr>
          <w:p w14:paraId="2A238FEF" w14:textId="77777777" w:rsidR="0011459E" w:rsidRPr="00FE5518" w:rsidRDefault="0011459E" w:rsidP="0011459E">
            <w:pPr>
              <w:rPr>
                <w:rFonts w:eastAsia="Times New Roman" w:cs="Arial"/>
              </w:rPr>
            </w:pPr>
            <w:r w:rsidRPr="00FE5518">
              <w:rPr>
                <w:rFonts w:eastAsia="Times New Roman" w:cs="Arial"/>
              </w:rPr>
              <w:t>ESRR</w:t>
            </w:r>
          </w:p>
        </w:tc>
        <w:tc>
          <w:tcPr>
            <w:tcW w:w="1323" w:type="dxa"/>
          </w:tcPr>
          <w:p w14:paraId="31558F34" w14:textId="77777777" w:rsidR="0011459E" w:rsidRPr="00FE5518" w:rsidRDefault="0011459E" w:rsidP="0011459E">
            <w:pPr>
              <w:rPr>
                <w:rFonts w:eastAsia="Times New Roman" w:cs="Arial"/>
              </w:rPr>
            </w:pPr>
            <w:r w:rsidRPr="00FE5518">
              <w:rPr>
                <w:rFonts w:eastAsia="Times New Roman" w:cs="Arial"/>
              </w:rPr>
              <w:t>Bolj razvite regije</w:t>
            </w:r>
          </w:p>
        </w:tc>
        <w:tc>
          <w:tcPr>
            <w:tcW w:w="6961" w:type="dxa"/>
          </w:tcPr>
          <w:p w14:paraId="3A638D64" w14:textId="77777777" w:rsidR="0011459E" w:rsidRPr="00FE5518" w:rsidRDefault="0011459E" w:rsidP="008A59C8">
            <w:pPr>
              <w:jc w:val="both"/>
              <w:rPr>
                <w:rFonts w:eastAsia="Times New Roman" w:cs="Arial"/>
              </w:rPr>
            </w:pPr>
            <w:r w:rsidRPr="00FE5518">
              <w:rPr>
                <w:rFonts w:eastAsia="Times New Roman" w:cs="Arial"/>
              </w:rPr>
              <w:t>188 Produktivne naložbe v velika podjetja, povezane predvsem s čistimi tehnologijami</w:t>
            </w:r>
          </w:p>
        </w:tc>
        <w:tc>
          <w:tcPr>
            <w:tcW w:w="1827" w:type="dxa"/>
          </w:tcPr>
          <w:p w14:paraId="18340475" w14:textId="39969386" w:rsidR="0011459E" w:rsidRPr="00FE5518" w:rsidRDefault="00153B63" w:rsidP="0011459E">
            <w:pPr>
              <w:rPr>
                <w:rFonts w:eastAsia="Times New Roman" w:cs="Arial"/>
              </w:rPr>
            </w:pPr>
            <w:r>
              <w:rPr>
                <w:rFonts w:eastAsia="Times New Roman" w:cs="Arial"/>
              </w:rPr>
              <w:t>1.220.000</w:t>
            </w:r>
          </w:p>
        </w:tc>
      </w:tr>
      <w:tr w:rsidR="0011459E" w:rsidRPr="00FE5518" w14:paraId="72A33960" w14:textId="77777777" w:rsidTr="006059E7">
        <w:trPr>
          <w:trHeight w:val="300"/>
        </w:trPr>
        <w:tc>
          <w:tcPr>
            <w:tcW w:w="1239" w:type="dxa"/>
          </w:tcPr>
          <w:p w14:paraId="54A70E45" w14:textId="77777777" w:rsidR="0011459E" w:rsidRPr="00FE5518" w:rsidRDefault="0011459E" w:rsidP="0011459E">
            <w:pPr>
              <w:rPr>
                <w:rFonts w:eastAsia="Times New Roman" w:cs="Arial"/>
              </w:rPr>
            </w:pPr>
            <w:r w:rsidRPr="00FE5518">
              <w:rPr>
                <w:rFonts w:eastAsia="Times New Roman" w:cs="Arial"/>
              </w:rPr>
              <w:lastRenderedPageBreak/>
              <w:t>1</w:t>
            </w:r>
          </w:p>
        </w:tc>
        <w:tc>
          <w:tcPr>
            <w:tcW w:w="1125" w:type="dxa"/>
          </w:tcPr>
          <w:p w14:paraId="27DB5272" w14:textId="77777777" w:rsidR="0011459E" w:rsidRPr="00FE5518" w:rsidRDefault="0011459E" w:rsidP="0011459E">
            <w:pPr>
              <w:rPr>
                <w:rFonts w:eastAsia="Times New Roman" w:cs="Arial"/>
              </w:rPr>
            </w:pPr>
            <w:r w:rsidRPr="00FE5518">
              <w:rPr>
                <w:rFonts w:eastAsia="Times New Roman" w:cs="Arial"/>
              </w:rPr>
              <w:t>RSO1.6</w:t>
            </w:r>
          </w:p>
        </w:tc>
        <w:tc>
          <w:tcPr>
            <w:tcW w:w="1128" w:type="dxa"/>
          </w:tcPr>
          <w:p w14:paraId="23F6B00A" w14:textId="77777777" w:rsidR="0011459E" w:rsidRPr="00FE5518" w:rsidRDefault="0011459E" w:rsidP="0011459E">
            <w:pPr>
              <w:rPr>
                <w:rFonts w:eastAsia="Times New Roman" w:cs="Arial"/>
              </w:rPr>
            </w:pPr>
            <w:r w:rsidRPr="00FE5518">
              <w:rPr>
                <w:rFonts w:eastAsia="Times New Roman" w:cs="Arial"/>
              </w:rPr>
              <w:t>ESRR</w:t>
            </w:r>
          </w:p>
        </w:tc>
        <w:tc>
          <w:tcPr>
            <w:tcW w:w="1323" w:type="dxa"/>
          </w:tcPr>
          <w:p w14:paraId="49CC3431" w14:textId="77777777" w:rsidR="0011459E" w:rsidRPr="00FE5518" w:rsidRDefault="0011459E" w:rsidP="0011459E">
            <w:pPr>
              <w:rPr>
                <w:rFonts w:eastAsia="Times New Roman" w:cs="Arial"/>
              </w:rPr>
            </w:pPr>
            <w:r w:rsidRPr="00FE5518">
              <w:rPr>
                <w:rFonts w:eastAsia="Times New Roman" w:cs="Arial"/>
              </w:rPr>
              <w:t>Bolj razvite regije</w:t>
            </w:r>
          </w:p>
        </w:tc>
        <w:tc>
          <w:tcPr>
            <w:tcW w:w="6961" w:type="dxa"/>
          </w:tcPr>
          <w:p w14:paraId="39FB1D5C" w14:textId="77777777" w:rsidR="0011459E" w:rsidRPr="00FE5518" w:rsidRDefault="0011459E" w:rsidP="008A59C8">
            <w:pPr>
              <w:jc w:val="both"/>
              <w:rPr>
                <w:rFonts w:eastAsia="Times New Roman" w:cs="Arial"/>
              </w:rPr>
            </w:pPr>
            <w:r w:rsidRPr="00FE5518">
              <w:rPr>
                <w:rFonts w:eastAsia="Times New Roman" w:cs="Arial"/>
              </w:rPr>
              <w:t>189 Produktivne naložbe v MSP, povezane predvsem s čistimi tehnologijami</w:t>
            </w:r>
          </w:p>
        </w:tc>
        <w:tc>
          <w:tcPr>
            <w:tcW w:w="1827" w:type="dxa"/>
          </w:tcPr>
          <w:p w14:paraId="71A218ED" w14:textId="6DED8435" w:rsidR="0011459E" w:rsidRPr="00FE5518" w:rsidRDefault="00153B63" w:rsidP="0011459E">
            <w:pPr>
              <w:rPr>
                <w:rFonts w:eastAsia="Times New Roman" w:cs="Arial"/>
              </w:rPr>
            </w:pPr>
            <w:r>
              <w:rPr>
                <w:rFonts w:eastAsia="Times New Roman" w:cs="Arial"/>
              </w:rPr>
              <w:t>2.450.000</w:t>
            </w:r>
          </w:p>
        </w:tc>
      </w:tr>
      <w:tr w:rsidR="0011459E" w:rsidRPr="00FE5518" w14:paraId="7C13A4FE" w14:textId="77777777" w:rsidTr="006059E7">
        <w:trPr>
          <w:trHeight w:val="300"/>
        </w:trPr>
        <w:tc>
          <w:tcPr>
            <w:tcW w:w="1239" w:type="dxa"/>
          </w:tcPr>
          <w:p w14:paraId="7ADD0CAF" w14:textId="77777777" w:rsidR="0011459E" w:rsidRPr="00FE5518" w:rsidRDefault="0011459E" w:rsidP="0011459E">
            <w:pPr>
              <w:rPr>
                <w:rFonts w:eastAsia="Times New Roman" w:cs="Arial"/>
              </w:rPr>
            </w:pPr>
            <w:r w:rsidRPr="00FE5518">
              <w:rPr>
                <w:rFonts w:eastAsia="Times New Roman" w:cs="Arial"/>
              </w:rPr>
              <w:t>1</w:t>
            </w:r>
          </w:p>
        </w:tc>
        <w:tc>
          <w:tcPr>
            <w:tcW w:w="1125" w:type="dxa"/>
          </w:tcPr>
          <w:p w14:paraId="0D3C9CAC" w14:textId="77777777" w:rsidR="0011459E" w:rsidRPr="00FE5518" w:rsidRDefault="0011459E" w:rsidP="0011459E">
            <w:pPr>
              <w:rPr>
                <w:rFonts w:eastAsia="Times New Roman" w:cs="Arial"/>
              </w:rPr>
            </w:pPr>
            <w:r w:rsidRPr="00FE5518">
              <w:rPr>
                <w:rFonts w:eastAsia="Times New Roman" w:cs="Arial"/>
              </w:rPr>
              <w:t>RSO1.6</w:t>
            </w:r>
          </w:p>
        </w:tc>
        <w:tc>
          <w:tcPr>
            <w:tcW w:w="1128" w:type="dxa"/>
          </w:tcPr>
          <w:p w14:paraId="69533924" w14:textId="77777777" w:rsidR="0011459E" w:rsidRPr="00FE5518" w:rsidRDefault="0011459E" w:rsidP="0011459E">
            <w:pPr>
              <w:rPr>
                <w:rFonts w:eastAsia="Times New Roman" w:cs="Arial"/>
              </w:rPr>
            </w:pPr>
            <w:r w:rsidRPr="00FE5518">
              <w:rPr>
                <w:rFonts w:eastAsia="Times New Roman" w:cs="Arial"/>
              </w:rPr>
              <w:t>ESRR</w:t>
            </w:r>
          </w:p>
        </w:tc>
        <w:tc>
          <w:tcPr>
            <w:tcW w:w="1323" w:type="dxa"/>
          </w:tcPr>
          <w:p w14:paraId="38C3FEEF" w14:textId="77777777" w:rsidR="0011459E" w:rsidRPr="00FE5518" w:rsidRDefault="0011459E" w:rsidP="0011459E">
            <w:pPr>
              <w:rPr>
                <w:rFonts w:eastAsia="Times New Roman" w:cs="Arial"/>
              </w:rPr>
            </w:pPr>
            <w:r w:rsidRPr="00FE5518">
              <w:rPr>
                <w:rFonts w:eastAsia="Times New Roman" w:cs="Arial"/>
              </w:rPr>
              <w:t>Bolj razvite regije</w:t>
            </w:r>
          </w:p>
        </w:tc>
        <w:tc>
          <w:tcPr>
            <w:tcW w:w="6961" w:type="dxa"/>
          </w:tcPr>
          <w:p w14:paraId="5217DD08" w14:textId="77777777" w:rsidR="0011459E" w:rsidRPr="00FE5518" w:rsidRDefault="0011459E" w:rsidP="008A59C8">
            <w:pPr>
              <w:jc w:val="both"/>
              <w:rPr>
                <w:rFonts w:eastAsia="Times New Roman" w:cs="Arial"/>
              </w:rPr>
            </w:pPr>
            <w:r w:rsidRPr="00FE5518">
              <w:rPr>
                <w:rFonts w:eastAsia="Times New Roman" w:cs="Arial"/>
              </w:rPr>
              <w:t>190 Produktivne naložbe v velika podjetja, povezane predvsem z biotehnologijami</w:t>
            </w:r>
          </w:p>
        </w:tc>
        <w:tc>
          <w:tcPr>
            <w:tcW w:w="1827" w:type="dxa"/>
          </w:tcPr>
          <w:p w14:paraId="78875D4F" w14:textId="27CF4FA8" w:rsidR="0011459E" w:rsidRPr="00FE5518" w:rsidRDefault="00153B63" w:rsidP="0011459E">
            <w:pPr>
              <w:rPr>
                <w:rFonts w:eastAsia="Times New Roman" w:cs="Arial"/>
              </w:rPr>
            </w:pPr>
            <w:r>
              <w:rPr>
                <w:rFonts w:eastAsia="Times New Roman" w:cs="Arial"/>
              </w:rPr>
              <w:t>270.000</w:t>
            </w:r>
          </w:p>
        </w:tc>
      </w:tr>
      <w:tr w:rsidR="0011459E" w:rsidRPr="00FE5518" w14:paraId="3C098630" w14:textId="77777777" w:rsidTr="006059E7">
        <w:trPr>
          <w:trHeight w:val="300"/>
        </w:trPr>
        <w:tc>
          <w:tcPr>
            <w:tcW w:w="1239" w:type="dxa"/>
          </w:tcPr>
          <w:p w14:paraId="18ADA9E0" w14:textId="77777777" w:rsidR="0011459E" w:rsidRPr="00FE5518" w:rsidRDefault="0011459E" w:rsidP="0011459E">
            <w:pPr>
              <w:rPr>
                <w:rFonts w:eastAsia="Times New Roman" w:cs="Arial"/>
              </w:rPr>
            </w:pPr>
            <w:r w:rsidRPr="00FE5518">
              <w:rPr>
                <w:rFonts w:eastAsia="Times New Roman" w:cs="Arial"/>
              </w:rPr>
              <w:t>1</w:t>
            </w:r>
          </w:p>
        </w:tc>
        <w:tc>
          <w:tcPr>
            <w:tcW w:w="1125" w:type="dxa"/>
          </w:tcPr>
          <w:p w14:paraId="595AA4C1" w14:textId="77777777" w:rsidR="0011459E" w:rsidRPr="00FE5518" w:rsidRDefault="0011459E" w:rsidP="0011459E">
            <w:pPr>
              <w:rPr>
                <w:rFonts w:eastAsia="Times New Roman" w:cs="Arial"/>
              </w:rPr>
            </w:pPr>
            <w:r w:rsidRPr="00FE5518">
              <w:rPr>
                <w:rFonts w:eastAsia="Times New Roman" w:cs="Arial"/>
              </w:rPr>
              <w:t>RSO1.6</w:t>
            </w:r>
          </w:p>
        </w:tc>
        <w:tc>
          <w:tcPr>
            <w:tcW w:w="1128" w:type="dxa"/>
          </w:tcPr>
          <w:p w14:paraId="056F6AAA" w14:textId="77777777" w:rsidR="0011459E" w:rsidRPr="00FE5518" w:rsidRDefault="0011459E" w:rsidP="0011459E">
            <w:pPr>
              <w:rPr>
                <w:rFonts w:eastAsia="Times New Roman" w:cs="Arial"/>
              </w:rPr>
            </w:pPr>
            <w:r w:rsidRPr="00FE5518">
              <w:rPr>
                <w:rFonts w:eastAsia="Times New Roman" w:cs="Arial"/>
              </w:rPr>
              <w:t>ESRR</w:t>
            </w:r>
          </w:p>
        </w:tc>
        <w:tc>
          <w:tcPr>
            <w:tcW w:w="1323" w:type="dxa"/>
          </w:tcPr>
          <w:p w14:paraId="1E5BBA7A" w14:textId="77777777" w:rsidR="0011459E" w:rsidRPr="00FE5518" w:rsidRDefault="0011459E" w:rsidP="0011459E">
            <w:pPr>
              <w:rPr>
                <w:rFonts w:eastAsia="Times New Roman" w:cs="Arial"/>
              </w:rPr>
            </w:pPr>
            <w:r w:rsidRPr="00FE5518">
              <w:rPr>
                <w:rFonts w:eastAsia="Times New Roman" w:cs="Arial"/>
              </w:rPr>
              <w:t>Bolj razvite regije</w:t>
            </w:r>
          </w:p>
        </w:tc>
        <w:tc>
          <w:tcPr>
            <w:tcW w:w="6961" w:type="dxa"/>
          </w:tcPr>
          <w:p w14:paraId="400D8F12" w14:textId="77777777" w:rsidR="0011459E" w:rsidRPr="00FE5518" w:rsidRDefault="0011459E" w:rsidP="008A59C8">
            <w:pPr>
              <w:jc w:val="both"/>
              <w:rPr>
                <w:rFonts w:eastAsia="Times New Roman" w:cs="Arial"/>
              </w:rPr>
            </w:pPr>
            <w:r w:rsidRPr="00FE5518">
              <w:rPr>
                <w:rFonts w:eastAsia="Times New Roman" w:cs="Arial"/>
              </w:rPr>
              <w:t>191 Produktivne naložbe v MSP, povezane predvsem z biotehnologijami</w:t>
            </w:r>
          </w:p>
        </w:tc>
        <w:tc>
          <w:tcPr>
            <w:tcW w:w="1827" w:type="dxa"/>
          </w:tcPr>
          <w:p w14:paraId="63367A95" w14:textId="4DBF2E37" w:rsidR="0011459E" w:rsidRPr="00FE5518" w:rsidRDefault="00153B63" w:rsidP="0011459E">
            <w:pPr>
              <w:rPr>
                <w:rFonts w:eastAsia="Times New Roman" w:cs="Arial"/>
              </w:rPr>
            </w:pPr>
            <w:r>
              <w:rPr>
                <w:rFonts w:eastAsia="Times New Roman" w:cs="Arial"/>
              </w:rPr>
              <w:t>540.000</w:t>
            </w:r>
          </w:p>
        </w:tc>
      </w:tr>
      <w:tr w:rsidR="0011459E" w:rsidRPr="00FE5518" w14:paraId="3F4A455E" w14:textId="77777777" w:rsidTr="006059E7">
        <w:trPr>
          <w:trHeight w:val="300"/>
        </w:trPr>
        <w:tc>
          <w:tcPr>
            <w:tcW w:w="1239" w:type="dxa"/>
          </w:tcPr>
          <w:p w14:paraId="546DB408" w14:textId="77777777" w:rsidR="0011459E" w:rsidRPr="00FE5518" w:rsidRDefault="0011459E" w:rsidP="0011459E">
            <w:pPr>
              <w:rPr>
                <w:rFonts w:eastAsia="Times New Roman" w:cs="Arial"/>
              </w:rPr>
            </w:pPr>
            <w:r w:rsidRPr="00FE5518">
              <w:rPr>
                <w:rFonts w:eastAsia="Times New Roman" w:cs="Arial"/>
              </w:rPr>
              <w:t>1</w:t>
            </w:r>
          </w:p>
        </w:tc>
        <w:tc>
          <w:tcPr>
            <w:tcW w:w="1125" w:type="dxa"/>
          </w:tcPr>
          <w:p w14:paraId="0FA07385" w14:textId="77777777" w:rsidR="0011459E" w:rsidRPr="00FE5518" w:rsidRDefault="0011459E" w:rsidP="0011459E">
            <w:pPr>
              <w:rPr>
                <w:rFonts w:eastAsia="Times New Roman" w:cs="Arial"/>
              </w:rPr>
            </w:pPr>
            <w:r w:rsidRPr="00FE5518">
              <w:rPr>
                <w:rFonts w:eastAsia="Times New Roman" w:cs="Arial"/>
              </w:rPr>
              <w:t>RSO1.6</w:t>
            </w:r>
          </w:p>
        </w:tc>
        <w:tc>
          <w:tcPr>
            <w:tcW w:w="1128" w:type="dxa"/>
          </w:tcPr>
          <w:p w14:paraId="197C7C47" w14:textId="77777777" w:rsidR="0011459E" w:rsidRPr="00FE5518" w:rsidRDefault="0011459E" w:rsidP="0011459E">
            <w:pPr>
              <w:rPr>
                <w:rFonts w:eastAsia="Times New Roman" w:cs="Arial"/>
              </w:rPr>
            </w:pPr>
            <w:r w:rsidRPr="00FE5518">
              <w:rPr>
                <w:rFonts w:eastAsia="Times New Roman" w:cs="Arial"/>
              </w:rPr>
              <w:t>ESRR</w:t>
            </w:r>
          </w:p>
        </w:tc>
        <w:tc>
          <w:tcPr>
            <w:tcW w:w="1323" w:type="dxa"/>
          </w:tcPr>
          <w:p w14:paraId="57B863CB" w14:textId="77777777" w:rsidR="0011459E" w:rsidRPr="00FE5518" w:rsidRDefault="0011459E" w:rsidP="0011459E">
            <w:pPr>
              <w:rPr>
                <w:rFonts w:eastAsia="Times New Roman" w:cs="Arial"/>
              </w:rPr>
            </w:pPr>
            <w:r w:rsidRPr="00FE5518">
              <w:rPr>
                <w:rFonts w:eastAsia="Times New Roman" w:cs="Arial"/>
              </w:rPr>
              <w:t>Bolj razvite regije</w:t>
            </w:r>
          </w:p>
        </w:tc>
        <w:tc>
          <w:tcPr>
            <w:tcW w:w="6961" w:type="dxa"/>
          </w:tcPr>
          <w:p w14:paraId="57D93ED5" w14:textId="77777777" w:rsidR="0011459E" w:rsidRPr="00FE5518" w:rsidRDefault="0011459E" w:rsidP="008A59C8">
            <w:pPr>
              <w:jc w:val="both"/>
              <w:rPr>
                <w:rFonts w:eastAsia="Times New Roman" w:cs="Arial"/>
              </w:rPr>
            </w:pPr>
            <w:r w:rsidRPr="00FE5518">
              <w:rPr>
                <w:rFonts w:eastAsia="Times New Roman" w:cs="Arial"/>
              </w:rPr>
              <w:t>192 Produktivne naložbe v velika podjetja, povezane predvsem z globokimi in digitalnimi tehnologijami</w:t>
            </w:r>
          </w:p>
        </w:tc>
        <w:tc>
          <w:tcPr>
            <w:tcW w:w="1827" w:type="dxa"/>
          </w:tcPr>
          <w:p w14:paraId="444C5449" w14:textId="3A5CCA00" w:rsidR="0011459E" w:rsidRPr="00FE5518" w:rsidRDefault="00153B63" w:rsidP="0011459E">
            <w:pPr>
              <w:rPr>
                <w:rFonts w:eastAsia="Times New Roman" w:cs="Arial"/>
              </w:rPr>
            </w:pPr>
            <w:r>
              <w:rPr>
                <w:rFonts w:eastAsia="Times New Roman" w:cs="Arial"/>
              </w:rPr>
              <w:t>310.000</w:t>
            </w:r>
          </w:p>
        </w:tc>
      </w:tr>
      <w:tr w:rsidR="0011459E" w:rsidRPr="00FE5518" w14:paraId="22245A13" w14:textId="77777777" w:rsidTr="006059E7">
        <w:trPr>
          <w:trHeight w:val="300"/>
        </w:trPr>
        <w:tc>
          <w:tcPr>
            <w:tcW w:w="1239" w:type="dxa"/>
          </w:tcPr>
          <w:p w14:paraId="1F54009D" w14:textId="77777777" w:rsidR="0011459E" w:rsidRPr="00FE5518" w:rsidRDefault="0011459E" w:rsidP="0011459E">
            <w:pPr>
              <w:rPr>
                <w:rFonts w:eastAsia="Times New Roman" w:cs="Arial"/>
              </w:rPr>
            </w:pPr>
            <w:r w:rsidRPr="00FE5518">
              <w:rPr>
                <w:rFonts w:eastAsia="Times New Roman" w:cs="Arial"/>
              </w:rPr>
              <w:t>1</w:t>
            </w:r>
          </w:p>
        </w:tc>
        <w:tc>
          <w:tcPr>
            <w:tcW w:w="1125" w:type="dxa"/>
          </w:tcPr>
          <w:p w14:paraId="74A85C3A" w14:textId="77777777" w:rsidR="0011459E" w:rsidRPr="00FE5518" w:rsidRDefault="0011459E" w:rsidP="0011459E">
            <w:pPr>
              <w:rPr>
                <w:rFonts w:eastAsia="Times New Roman" w:cs="Arial"/>
              </w:rPr>
            </w:pPr>
            <w:r w:rsidRPr="00FE5518">
              <w:rPr>
                <w:rFonts w:eastAsia="Times New Roman" w:cs="Arial"/>
              </w:rPr>
              <w:t>RSO1.6</w:t>
            </w:r>
          </w:p>
        </w:tc>
        <w:tc>
          <w:tcPr>
            <w:tcW w:w="1128" w:type="dxa"/>
          </w:tcPr>
          <w:p w14:paraId="79E70B10" w14:textId="77777777" w:rsidR="0011459E" w:rsidRPr="00FE5518" w:rsidRDefault="0011459E" w:rsidP="0011459E">
            <w:pPr>
              <w:rPr>
                <w:rFonts w:eastAsia="Times New Roman" w:cs="Arial"/>
              </w:rPr>
            </w:pPr>
            <w:r w:rsidRPr="00FE5518">
              <w:rPr>
                <w:rFonts w:eastAsia="Times New Roman" w:cs="Arial"/>
              </w:rPr>
              <w:t>ESRR</w:t>
            </w:r>
          </w:p>
        </w:tc>
        <w:tc>
          <w:tcPr>
            <w:tcW w:w="1323" w:type="dxa"/>
          </w:tcPr>
          <w:p w14:paraId="2FA05787" w14:textId="77777777" w:rsidR="0011459E" w:rsidRPr="00FE5518" w:rsidRDefault="0011459E" w:rsidP="0011459E">
            <w:pPr>
              <w:rPr>
                <w:rFonts w:eastAsia="Times New Roman" w:cs="Arial"/>
              </w:rPr>
            </w:pPr>
            <w:r w:rsidRPr="00FE5518">
              <w:rPr>
                <w:rFonts w:eastAsia="Times New Roman" w:cs="Arial"/>
              </w:rPr>
              <w:t>Bolj razvite regije</w:t>
            </w:r>
          </w:p>
        </w:tc>
        <w:tc>
          <w:tcPr>
            <w:tcW w:w="6961" w:type="dxa"/>
          </w:tcPr>
          <w:p w14:paraId="354AB37B" w14:textId="77777777" w:rsidR="0011459E" w:rsidRPr="00FE5518" w:rsidRDefault="0011459E" w:rsidP="008A59C8">
            <w:pPr>
              <w:jc w:val="both"/>
              <w:rPr>
                <w:rFonts w:eastAsia="Times New Roman" w:cs="Arial"/>
              </w:rPr>
            </w:pPr>
            <w:r w:rsidRPr="00FE5518">
              <w:rPr>
                <w:rFonts w:eastAsia="Times New Roman" w:cs="Arial"/>
              </w:rPr>
              <w:t>193 Produktivne naložbe v MSP, povezane predvsem z globokimi in digitalnimi tehnologijami</w:t>
            </w:r>
          </w:p>
        </w:tc>
        <w:tc>
          <w:tcPr>
            <w:tcW w:w="1827" w:type="dxa"/>
          </w:tcPr>
          <w:p w14:paraId="0DD43C92" w14:textId="14BE298F" w:rsidR="0011459E" w:rsidRPr="00FE5518" w:rsidRDefault="00153B63" w:rsidP="0011459E">
            <w:pPr>
              <w:rPr>
                <w:rFonts w:eastAsia="Times New Roman" w:cs="Arial"/>
              </w:rPr>
            </w:pPr>
            <w:r>
              <w:rPr>
                <w:rFonts w:eastAsia="Times New Roman" w:cs="Arial"/>
              </w:rPr>
              <w:t>650.000</w:t>
            </w:r>
          </w:p>
        </w:tc>
      </w:tr>
      <w:tr w:rsidR="00153B63" w:rsidRPr="00FE5518" w:rsidDel="00F77427" w14:paraId="797C5287" w14:textId="77777777" w:rsidTr="006059E7">
        <w:trPr>
          <w:trHeight w:val="300"/>
        </w:trPr>
        <w:tc>
          <w:tcPr>
            <w:tcW w:w="1239" w:type="dxa"/>
          </w:tcPr>
          <w:p w14:paraId="434F0F92" w14:textId="77777777" w:rsidR="00153B63" w:rsidRPr="00FE5518" w:rsidRDefault="00153B63" w:rsidP="00F545BB">
            <w:pPr>
              <w:rPr>
                <w:rFonts w:eastAsia="Times New Roman" w:cs="Arial"/>
              </w:rPr>
            </w:pPr>
            <w:r w:rsidRPr="00FE5518">
              <w:rPr>
                <w:rFonts w:eastAsia="Times New Roman" w:cs="Arial"/>
              </w:rPr>
              <w:t>1</w:t>
            </w:r>
          </w:p>
        </w:tc>
        <w:tc>
          <w:tcPr>
            <w:tcW w:w="1125" w:type="dxa"/>
          </w:tcPr>
          <w:p w14:paraId="4B153C1D" w14:textId="77777777" w:rsidR="00153B63" w:rsidRPr="00FE5518" w:rsidRDefault="00153B63" w:rsidP="00F545BB">
            <w:pPr>
              <w:rPr>
                <w:rFonts w:eastAsia="Times New Roman" w:cs="Arial"/>
              </w:rPr>
            </w:pPr>
            <w:r w:rsidRPr="00FE5518">
              <w:rPr>
                <w:rFonts w:eastAsia="Times New Roman" w:cs="Arial"/>
              </w:rPr>
              <w:t>RSO1.6</w:t>
            </w:r>
          </w:p>
        </w:tc>
        <w:tc>
          <w:tcPr>
            <w:tcW w:w="1128" w:type="dxa"/>
          </w:tcPr>
          <w:p w14:paraId="08B009D8" w14:textId="77777777" w:rsidR="00153B63" w:rsidRPr="00FE5518" w:rsidRDefault="00153B63" w:rsidP="00F545BB">
            <w:pPr>
              <w:rPr>
                <w:rFonts w:eastAsia="Times New Roman" w:cs="Arial"/>
              </w:rPr>
            </w:pPr>
            <w:r w:rsidRPr="00FE5518">
              <w:rPr>
                <w:rFonts w:eastAsia="Times New Roman" w:cs="Arial"/>
              </w:rPr>
              <w:t>ESRR</w:t>
            </w:r>
          </w:p>
        </w:tc>
        <w:tc>
          <w:tcPr>
            <w:tcW w:w="1323" w:type="dxa"/>
          </w:tcPr>
          <w:p w14:paraId="647646C2" w14:textId="77777777" w:rsidR="00153B63" w:rsidRPr="00FE5518" w:rsidRDefault="00153B63" w:rsidP="00F545BB">
            <w:pPr>
              <w:rPr>
                <w:rFonts w:eastAsia="Times New Roman" w:cs="Arial"/>
              </w:rPr>
            </w:pPr>
            <w:r>
              <w:rPr>
                <w:rFonts w:eastAsia="Times New Roman" w:cs="Arial"/>
              </w:rPr>
              <w:t xml:space="preserve">Manj </w:t>
            </w:r>
            <w:r w:rsidRPr="00FE5518">
              <w:rPr>
                <w:rFonts w:eastAsia="Times New Roman" w:cs="Arial"/>
              </w:rPr>
              <w:t>razvite regije</w:t>
            </w:r>
          </w:p>
        </w:tc>
        <w:tc>
          <w:tcPr>
            <w:tcW w:w="6961" w:type="dxa"/>
          </w:tcPr>
          <w:p w14:paraId="28856F86" w14:textId="77777777" w:rsidR="00153B63" w:rsidRPr="00FE5518" w:rsidRDefault="00153B63" w:rsidP="00F545BB">
            <w:pPr>
              <w:jc w:val="both"/>
              <w:rPr>
                <w:rFonts w:eastAsia="Times New Roman" w:cs="Arial"/>
              </w:rPr>
            </w:pPr>
            <w:r w:rsidRPr="00FE5518">
              <w:rPr>
                <w:rFonts w:eastAsia="Times New Roman" w:cs="Arial"/>
              </w:rPr>
              <w:t>010 Raziskovalne in inovacijske dejavnosti v MSP, vključno z mreženjem</w:t>
            </w:r>
          </w:p>
        </w:tc>
        <w:tc>
          <w:tcPr>
            <w:tcW w:w="1827" w:type="dxa"/>
          </w:tcPr>
          <w:p w14:paraId="22142280" w14:textId="77777777" w:rsidR="00153B63" w:rsidRPr="00FE5518" w:rsidDel="00F77427" w:rsidRDefault="00153B63" w:rsidP="00F545BB">
            <w:pPr>
              <w:rPr>
                <w:rFonts w:eastAsia="Times New Roman" w:cs="Arial"/>
              </w:rPr>
            </w:pPr>
            <w:r>
              <w:rPr>
                <w:rFonts w:eastAsia="Times New Roman" w:cs="Arial"/>
              </w:rPr>
              <w:t>28.370.000</w:t>
            </w:r>
          </w:p>
        </w:tc>
      </w:tr>
      <w:tr w:rsidR="00153B63" w14:paraId="3877D3C0" w14:textId="77777777" w:rsidTr="006059E7">
        <w:trPr>
          <w:trHeight w:val="300"/>
        </w:trPr>
        <w:tc>
          <w:tcPr>
            <w:tcW w:w="1239" w:type="dxa"/>
          </w:tcPr>
          <w:p w14:paraId="3176F091" w14:textId="77777777" w:rsidR="00153B63" w:rsidRPr="00FE5518" w:rsidRDefault="00153B63" w:rsidP="00F545BB">
            <w:pPr>
              <w:rPr>
                <w:rFonts w:eastAsia="Times New Roman" w:cs="Arial"/>
              </w:rPr>
            </w:pPr>
            <w:r w:rsidRPr="00FE5518">
              <w:rPr>
                <w:rFonts w:eastAsia="Times New Roman" w:cs="Arial"/>
              </w:rPr>
              <w:t>1</w:t>
            </w:r>
          </w:p>
        </w:tc>
        <w:tc>
          <w:tcPr>
            <w:tcW w:w="1125" w:type="dxa"/>
          </w:tcPr>
          <w:p w14:paraId="3AF7B754" w14:textId="77777777" w:rsidR="00153B63" w:rsidRPr="00FE5518" w:rsidRDefault="00153B63" w:rsidP="00F545BB">
            <w:pPr>
              <w:rPr>
                <w:rFonts w:eastAsia="Times New Roman" w:cs="Arial"/>
              </w:rPr>
            </w:pPr>
            <w:r w:rsidRPr="00FE5518">
              <w:rPr>
                <w:rFonts w:eastAsia="Times New Roman" w:cs="Arial"/>
              </w:rPr>
              <w:t>RSO1.6</w:t>
            </w:r>
          </w:p>
        </w:tc>
        <w:tc>
          <w:tcPr>
            <w:tcW w:w="1128" w:type="dxa"/>
          </w:tcPr>
          <w:p w14:paraId="4C40E463" w14:textId="77777777" w:rsidR="00153B63" w:rsidRPr="00FE5518" w:rsidRDefault="00153B63" w:rsidP="00F545BB">
            <w:pPr>
              <w:rPr>
                <w:rFonts w:eastAsia="Times New Roman" w:cs="Arial"/>
              </w:rPr>
            </w:pPr>
            <w:r w:rsidRPr="00FE5518">
              <w:rPr>
                <w:rFonts w:eastAsia="Times New Roman" w:cs="Arial"/>
              </w:rPr>
              <w:t>ESRR</w:t>
            </w:r>
          </w:p>
        </w:tc>
        <w:tc>
          <w:tcPr>
            <w:tcW w:w="1323" w:type="dxa"/>
          </w:tcPr>
          <w:p w14:paraId="70867FC1" w14:textId="77777777" w:rsidR="00153B63" w:rsidRDefault="00153B63" w:rsidP="00F545BB">
            <w:pPr>
              <w:rPr>
                <w:rFonts w:eastAsia="Times New Roman" w:cs="Arial"/>
              </w:rPr>
            </w:pPr>
            <w:r>
              <w:rPr>
                <w:rFonts w:eastAsia="Times New Roman" w:cs="Arial"/>
              </w:rPr>
              <w:t>Manj</w:t>
            </w:r>
            <w:r w:rsidRPr="00FE5518">
              <w:rPr>
                <w:rFonts w:eastAsia="Times New Roman" w:cs="Arial"/>
              </w:rPr>
              <w:t xml:space="preserve"> razvite regije</w:t>
            </w:r>
          </w:p>
        </w:tc>
        <w:tc>
          <w:tcPr>
            <w:tcW w:w="6961" w:type="dxa"/>
          </w:tcPr>
          <w:p w14:paraId="72E00E7D" w14:textId="77777777" w:rsidR="00153B63" w:rsidRPr="00FE5518" w:rsidRDefault="00153B63" w:rsidP="00F545BB">
            <w:pPr>
              <w:jc w:val="both"/>
              <w:rPr>
                <w:rFonts w:eastAsia="Times New Roman" w:cs="Arial"/>
              </w:rPr>
            </w:pPr>
            <w:r w:rsidRPr="00FE5518">
              <w:rPr>
                <w:rFonts w:eastAsia="Times New Roman" w:cs="Arial"/>
              </w:rPr>
              <w:t>011 Raziskovalne in inovacijske dejavnosti v velikih podjetjih, vključno z mreženjem</w:t>
            </w:r>
          </w:p>
        </w:tc>
        <w:tc>
          <w:tcPr>
            <w:tcW w:w="1827" w:type="dxa"/>
          </w:tcPr>
          <w:p w14:paraId="1898C986" w14:textId="77777777" w:rsidR="00153B63" w:rsidRDefault="00153B63" w:rsidP="00F545BB">
            <w:pPr>
              <w:rPr>
                <w:rFonts w:eastAsia="Times New Roman" w:cs="Arial"/>
              </w:rPr>
            </w:pPr>
            <w:r>
              <w:rPr>
                <w:rFonts w:eastAsia="Times New Roman" w:cs="Arial"/>
              </w:rPr>
              <w:t>13.860.000</w:t>
            </w:r>
          </w:p>
        </w:tc>
      </w:tr>
      <w:tr w:rsidR="00153B63" w14:paraId="3D76CAEC" w14:textId="77777777" w:rsidTr="006059E7">
        <w:trPr>
          <w:trHeight w:val="300"/>
        </w:trPr>
        <w:tc>
          <w:tcPr>
            <w:tcW w:w="1239" w:type="dxa"/>
          </w:tcPr>
          <w:p w14:paraId="68033DD2" w14:textId="77777777" w:rsidR="00153B63" w:rsidRPr="00FE5518" w:rsidRDefault="00153B63" w:rsidP="00F545BB">
            <w:pPr>
              <w:rPr>
                <w:rFonts w:eastAsia="Times New Roman" w:cs="Arial"/>
              </w:rPr>
            </w:pPr>
            <w:r w:rsidRPr="00FE5518">
              <w:rPr>
                <w:rFonts w:eastAsia="Times New Roman" w:cs="Arial"/>
              </w:rPr>
              <w:t>1</w:t>
            </w:r>
          </w:p>
        </w:tc>
        <w:tc>
          <w:tcPr>
            <w:tcW w:w="1125" w:type="dxa"/>
          </w:tcPr>
          <w:p w14:paraId="5F678FA8" w14:textId="77777777" w:rsidR="00153B63" w:rsidRPr="00FE5518" w:rsidRDefault="00153B63" w:rsidP="00F545BB">
            <w:pPr>
              <w:rPr>
                <w:rFonts w:eastAsia="Times New Roman" w:cs="Arial"/>
              </w:rPr>
            </w:pPr>
            <w:r w:rsidRPr="00FE5518">
              <w:rPr>
                <w:rFonts w:eastAsia="Times New Roman" w:cs="Arial"/>
              </w:rPr>
              <w:t>RSO1.6</w:t>
            </w:r>
          </w:p>
        </w:tc>
        <w:tc>
          <w:tcPr>
            <w:tcW w:w="1128" w:type="dxa"/>
          </w:tcPr>
          <w:p w14:paraId="22FF0F3A" w14:textId="77777777" w:rsidR="00153B63" w:rsidRPr="00FE5518" w:rsidRDefault="00153B63" w:rsidP="00F545BB">
            <w:pPr>
              <w:rPr>
                <w:rFonts w:eastAsia="Times New Roman" w:cs="Arial"/>
              </w:rPr>
            </w:pPr>
            <w:r w:rsidRPr="00FE5518">
              <w:rPr>
                <w:rFonts w:eastAsia="Times New Roman" w:cs="Arial"/>
              </w:rPr>
              <w:t>ESRR</w:t>
            </w:r>
          </w:p>
        </w:tc>
        <w:tc>
          <w:tcPr>
            <w:tcW w:w="1323" w:type="dxa"/>
          </w:tcPr>
          <w:p w14:paraId="2DF7ECD4" w14:textId="77777777" w:rsidR="00153B63" w:rsidRDefault="00153B63" w:rsidP="00F545BB">
            <w:pPr>
              <w:rPr>
                <w:rFonts w:eastAsia="Times New Roman" w:cs="Arial"/>
              </w:rPr>
            </w:pPr>
            <w:r>
              <w:rPr>
                <w:rFonts w:eastAsia="Times New Roman" w:cs="Arial"/>
              </w:rPr>
              <w:t>Manj</w:t>
            </w:r>
            <w:r w:rsidRPr="00FE5518">
              <w:rPr>
                <w:rFonts w:eastAsia="Times New Roman" w:cs="Arial"/>
              </w:rPr>
              <w:t xml:space="preserve"> razvite regije</w:t>
            </w:r>
          </w:p>
        </w:tc>
        <w:tc>
          <w:tcPr>
            <w:tcW w:w="6961" w:type="dxa"/>
          </w:tcPr>
          <w:p w14:paraId="1B4542CE" w14:textId="77777777" w:rsidR="00153B63" w:rsidRPr="00FE5518" w:rsidRDefault="00153B63" w:rsidP="00F545BB">
            <w:pPr>
              <w:jc w:val="both"/>
              <w:rPr>
                <w:rFonts w:eastAsia="Times New Roman" w:cs="Arial"/>
              </w:rPr>
            </w:pPr>
            <w:r w:rsidRPr="00FE5518">
              <w:rPr>
                <w:rFonts w:eastAsia="Times New Roman" w:cs="Arial"/>
              </w:rPr>
              <w:t>188 Produktivne naložbe v velika podjetja, povezane predvsem s čistimi tehnologijami</w:t>
            </w:r>
          </w:p>
        </w:tc>
        <w:tc>
          <w:tcPr>
            <w:tcW w:w="1827" w:type="dxa"/>
          </w:tcPr>
          <w:p w14:paraId="4B209EBE" w14:textId="77777777" w:rsidR="00153B63" w:rsidRDefault="00153B63" w:rsidP="00F545BB">
            <w:pPr>
              <w:rPr>
                <w:rFonts w:eastAsia="Times New Roman" w:cs="Arial"/>
              </w:rPr>
            </w:pPr>
            <w:r>
              <w:rPr>
                <w:rFonts w:eastAsia="Times New Roman" w:cs="Arial"/>
              </w:rPr>
              <w:t>2.380.000</w:t>
            </w:r>
          </w:p>
        </w:tc>
      </w:tr>
      <w:tr w:rsidR="00153B63" w14:paraId="04FB5502" w14:textId="77777777" w:rsidTr="006059E7">
        <w:trPr>
          <w:trHeight w:val="300"/>
        </w:trPr>
        <w:tc>
          <w:tcPr>
            <w:tcW w:w="1239" w:type="dxa"/>
          </w:tcPr>
          <w:p w14:paraId="115388CB" w14:textId="77777777" w:rsidR="00153B63" w:rsidRPr="00FE5518" w:rsidRDefault="00153B63" w:rsidP="00F545BB">
            <w:pPr>
              <w:rPr>
                <w:rFonts w:eastAsia="Times New Roman" w:cs="Arial"/>
              </w:rPr>
            </w:pPr>
            <w:r w:rsidRPr="00FE5518">
              <w:rPr>
                <w:rFonts w:eastAsia="Times New Roman" w:cs="Arial"/>
              </w:rPr>
              <w:t>1</w:t>
            </w:r>
          </w:p>
        </w:tc>
        <w:tc>
          <w:tcPr>
            <w:tcW w:w="1125" w:type="dxa"/>
          </w:tcPr>
          <w:p w14:paraId="4CB38B0B" w14:textId="77777777" w:rsidR="00153B63" w:rsidRPr="00FE5518" w:rsidRDefault="00153B63" w:rsidP="00F545BB">
            <w:pPr>
              <w:rPr>
                <w:rFonts w:eastAsia="Times New Roman" w:cs="Arial"/>
              </w:rPr>
            </w:pPr>
            <w:r w:rsidRPr="00FE5518">
              <w:rPr>
                <w:rFonts w:eastAsia="Times New Roman" w:cs="Arial"/>
              </w:rPr>
              <w:t>RSO1.6</w:t>
            </w:r>
          </w:p>
        </w:tc>
        <w:tc>
          <w:tcPr>
            <w:tcW w:w="1128" w:type="dxa"/>
          </w:tcPr>
          <w:p w14:paraId="1EEA00C9" w14:textId="77777777" w:rsidR="00153B63" w:rsidRPr="00FE5518" w:rsidRDefault="00153B63" w:rsidP="00F545BB">
            <w:pPr>
              <w:rPr>
                <w:rFonts w:eastAsia="Times New Roman" w:cs="Arial"/>
              </w:rPr>
            </w:pPr>
            <w:r w:rsidRPr="00FE5518">
              <w:rPr>
                <w:rFonts w:eastAsia="Times New Roman" w:cs="Arial"/>
              </w:rPr>
              <w:t>ESRR</w:t>
            </w:r>
          </w:p>
        </w:tc>
        <w:tc>
          <w:tcPr>
            <w:tcW w:w="1323" w:type="dxa"/>
          </w:tcPr>
          <w:p w14:paraId="122CE60E" w14:textId="77777777" w:rsidR="00153B63" w:rsidRDefault="00153B63" w:rsidP="00F545BB">
            <w:pPr>
              <w:rPr>
                <w:rFonts w:eastAsia="Times New Roman" w:cs="Arial"/>
              </w:rPr>
            </w:pPr>
            <w:r>
              <w:rPr>
                <w:rFonts w:eastAsia="Times New Roman" w:cs="Arial"/>
              </w:rPr>
              <w:t>Manj</w:t>
            </w:r>
            <w:r w:rsidRPr="00FE5518">
              <w:rPr>
                <w:rFonts w:eastAsia="Times New Roman" w:cs="Arial"/>
              </w:rPr>
              <w:t xml:space="preserve"> razvite regije</w:t>
            </w:r>
          </w:p>
        </w:tc>
        <w:tc>
          <w:tcPr>
            <w:tcW w:w="6961" w:type="dxa"/>
          </w:tcPr>
          <w:p w14:paraId="5F82620E" w14:textId="77777777" w:rsidR="00153B63" w:rsidRPr="00FE5518" w:rsidRDefault="00153B63" w:rsidP="00F545BB">
            <w:pPr>
              <w:jc w:val="both"/>
              <w:rPr>
                <w:rFonts w:eastAsia="Times New Roman" w:cs="Arial"/>
              </w:rPr>
            </w:pPr>
            <w:r w:rsidRPr="00FE5518">
              <w:rPr>
                <w:rFonts w:eastAsia="Times New Roman" w:cs="Arial"/>
              </w:rPr>
              <w:t>189 Produktivne naložbe v MSP, povezane predvsem s čistimi tehnologijami</w:t>
            </w:r>
          </w:p>
        </w:tc>
        <w:tc>
          <w:tcPr>
            <w:tcW w:w="1827" w:type="dxa"/>
          </w:tcPr>
          <w:p w14:paraId="27F88B0E" w14:textId="77777777" w:rsidR="00153B63" w:rsidRDefault="00153B63" w:rsidP="00F545BB">
            <w:pPr>
              <w:rPr>
                <w:rFonts w:eastAsia="Times New Roman" w:cs="Arial"/>
              </w:rPr>
            </w:pPr>
            <w:r>
              <w:rPr>
                <w:rFonts w:eastAsia="Times New Roman" w:cs="Arial"/>
              </w:rPr>
              <w:t>4.750.000</w:t>
            </w:r>
          </w:p>
        </w:tc>
      </w:tr>
      <w:tr w:rsidR="00153B63" w14:paraId="1895EC88" w14:textId="77777777" w:rsidTr="006059E7">
        <w:trPr>
          <w:trHeight w:val="300"/>
        </w:trPr>
        <w:tc>
          <w:tcPr>
            <w:tcW w:w="1239" w:type="dxa"/>
          </w:tcPr>
          <w:p w14:paraId="38F8D4B1" w14:textId="77777777" w:rsidR="00153B63" w:rsidRPr="00FE5518" w:rsidRDefault="00153B63" w:rsidP="00F545BB">
            <w:pPr>
              <w:rPr>
                <w:rFonts w:eastAsia="Times New Roman" w:cs="Arial"/>
              </w:rPr>
            </w:pPr>
            <w:r w:rsidRPr="00FE5518">
              <w:rPr>
                <w:rFonts w:eastAsia="Times New Roman" w:cs="Arial"/>
              </w:rPr>
              <w:t>1</w:t>
            </w:r>
          </w:p>
        </w:tc>
        <w:tc>
          <w:tcPr>
            <w:tcW w:w="1125" w:type="dxa"/>
          </w:tcPr>
          <w:p w14:paraId="3D044F29" w14:textId="77777777" w:rsidR="00153B63" w:rsidRPr="00FE5518" w:rsidRDefault="00153B63" w:rsidP="00F545BB">
            <w:pPr>
              <w:rPr>
                <w:rFonts w:eastAsia="Times New Roman" w:cs="Arial"/>
              </w:rPr>
            </w:pPr>
            <w:r w:rsidRPr="00FE5518">
              <w:rPr>
                <w:rFonts w:eastAsia="Times New Roman" w:cs="Arial"/>
              </w:rPr>
              <w:t>RSO1.6</w:t>
            </w:r>
          </w:p>
        </w:tc>
        <w:tc>
          <w:tcPr>
            <w:tcW w:w="1128" w:type="dxa"/>
          </w:tcPr>
          <w:p w14:paraId="695DAEF6" w14:textId="77777777" w:rsidR="00153B63" w:rsidRPr="00FE5518" w:rsidRDefault="00153B63" w:rsidP="00F545BB">
            <w:pPr>
              <w:rPr>
                <w:rFonts w:eastAsia="Times New Roman" w:cs="Arial"/>
              </w:rPr>
            </w:pPr>
            <w:r w:rsidRPr="00FE5518">
              <w:rPr>
                <w:rFonts w:eastAsia="Times New Roman" w:cs="Arial"/>
              </w:rPr>
              <w:t>ESRR</w:t>
            </w:r>
          </w:p>
        </w:tc>
        <w:tc>
          <w:tcPr>
            <w:tcW w:w="1323" w:type="dxa"/>
          </w:tcPr>
          <w:p w14:paraId="4A0DEFC1" w14:textId="77777777" w:rsidR="00153B63" w:rsidRDefault="00153B63" w:rsidP="00F545BB">
            <w:pPr>
              <w:rPr>
                <w:rFonts w:eastAsia="Times New Roman" w:cs="Arial"/>
              </w:rPr>
            </w:pPr>
            <w:r>
              <w:rPr>
                <w:rFonts w:eastAsia="Times New Roman" w:cs="Arial"/>
              </w:rPr>
              <w:t>Manj</w:t>
            </w:r>
            <w:r w:rsidRPr="00FE5518">
              <w:rPr>
                <w:rFonts w:eastAsia="Times New Roman" w:cs="Arial"/>
              </w:rPr>
              <w:t xml:space="preserve"> razvite regije</w:t>
            </w:r>
          </w:p>
        </w:tc>
        <w:tc>
          <w:tcPr>
            <w:tcW w:w="6961" w:type="dxa"/>
          </w:tcPr>
          <w:p w14:paraId="13B39788" w14:textId="77777777" w:rsidR="00153B63" w:rsidRPr="00FE5518" w:rsidRDefault="00153B63" w:rsidP="00F545BB">
            <w:pPr>
              <w:jc w:val="both"/>
              <w:rPr>
                <w:rFonts w:eastAsia="Times New Roman" w:cs="Arial"/>
              </w:rPr>
            </w:pPr>
            <w:r w:rsidRPr="00FE5518">
              <w:rPr>
                <w:rFonts w:eastAsia="Times New Roman" w:cs="Arial"/>
              </w:rPr>
              <w:t>190 Produktivne naložbe v velika podjetja, povezane predvsem z biotehnologijami</w:t>
            </w:r>
          </w:p>
        </w:tc>
        <w:tc>
          <w:tcPr>
            <w:tcW w:w="1827" w:type="dxa"/>
          </w:tcPr>
          <w:p w14:paraId="6BC8FCC4" w14:textId="77777777" w:rsidR="00153B63" w:rsidRDefault="00153B63" w:rsidP="00F545BB">
            <w:pPr>
              <w:rPr>
                <w:rFonts w:eastAsia="Times New Roman" w:cs="Arial"/>
              </w:rPr>
            </w:pPr>
            <w:r>
              <w:rPr>
                <w:rFonts w:eastAsia="Times New Roman" w:cs="Arial"/>
              </w:rPr>
              <w:t>530.000</w:t>
            </w:r>
          </w:p>
        </w:tc>
      </w:tr>
      <w:tr w:rsidR="00153B63" w14:paraId="5D42875E" w14:textId="77777777" w:rsidTr="006059E7">
        <w:trPr>
          <w:trHeight w:val="300"/>
        </w:trPr>
        <w:tc>
          <w:tcPr>
            <w:tcW w:w="1239" w:type="dxa"/>
          </w:tcPr>
          <w:p w14:paraId="4A9FE4AA" w14:textId="77777777" w:rsidR="00153B63" w:rsidRPr="00FE5518" w:rsidRDefault="00153B63" w:rsidP="00F545BB">
            <w:pPr>
              <w:rPr>
                <w:rFonts w:eastAsia="Times New Roman" w:cs="Arial"/>
              </w:rPr>
            </w:pPr>
            <w:r w:rsidRPr="00FE5518">
              <w:rPr>
                <w:rFonts w:eastAsia="Times New Roman" w:cs="Arial"/>
              </w:rPr>
              <w:t>1</w:t>
            </w:r>
          </w:p>
        </w:tc>
        <w:tc>
          <w:tcPr>
            <w:tcW w:w="1125" w:type="dxa"/>
          </w:tcPr>
          <w:p w14:paraId="73141DA1" w14:textId="77777777" w:rsidR="00153B63" w:rsidRPr="00FE5518" w:rsidRDefault="00153B63" w:rsidP="00F545BB">
            <w:pPr>
              <w:rPr>
                <w:rFonts w:eastAsia="Times New Roman" w:cs="Arial"/>
              </w:rPr>
            </w:pPr>
            <w:r w:rsidRPr="00FE5518">
              <w:rPr>
                <w:rFonts w:eastAsia="Times New Roman" w:cs="Arial"/>
              </w:rPr>
              <w:t>RSO1.6</w:t>
            </w:r>
          </w:p>
        </w:tc>
        <w:tc>
          <w:tcPr>
            <w:tcW w:w="1128" w:type="dxa"/>
          </w:tcPr>
          <w:p w14:paraId="65C19B74" w14:textId="77777777" w:rsidR="00153B63" w:rsidRPr="00FE5518" w:rsidRDefault="00153B63" w:rsidP="00F545BB">
            <w:pPr>
              <w:rPr>
                <w:rFonts w:eastAsia="Times New Roman" w:cs="Arial"/>
              </w:rPr>
            </w:pPr>
            <w:r w:rsidRPr="00FE5518">
              <w:rPr>
                <w:rFonts w:eastAsia="Times New Roman" w:cs="Arial"/>
              </w:rPr>
              <w:t>ESRR</w:t>
            </w:r>
          </w:p>
        </w:tc>
        <w:tc>
          <w:tcPr>
            <w:tcW w:w="1323" w:type="dxa"/>
          </w:tcPr>
          <w:p w14:paraId="4F75959E" w14:textId="77777777" w:rsidR="00153B63" w:rsidRDefault="00153B63" w:rsidP="00F545BB">
            <w:pPr>
              <w:rPr>
                <w:rFonts w:eastAsia="Times New Roman" w:cs="Arial"/>
              </w:rPr>
            </w:pPr>
            <w:r>
              <w:rPr>
                <w:rFonts w:eastAsia="Times New Roman" w:cs="Arial"/>
              </w:rPr>
              <w:t>Manj</w:t>
            </w:r>
            <w:r w:rsidRPr="00FE5518">
              <w:rPr>
                <w:rFonts w:eastAsia="Times New Roman" w:cs="Arial"/>
              </w:rPr>
              <w:t xml:space="preserve"> razvite regije</w:t>
            </w:r>
          </w:p>
        </w:tc>
        <w:tc>
          <w:tcPr>
            <w:tcW w:w="6961" w:type="dxa"/>
          </w:tcPr>
          <w:p w14:paraId="6CF9BE7D" w14:textId="77777777" w:rsidR="00153B63" w:rsidRPr="00FE5518" w:rsidRDefault="00153B63" w:rsidP="00F545BB">
            <w:pPr>
              <w:jc w:val="both"/>
              <w:rPr>
                <w:rFonts w:eastAsia="Times New Roman" w:cs="Arial"/>
              </w:rPr>
            </w:pPr>
            <w:r w:rsidRPr="00FE5518">
              <w:rPr>
                <w:rFonts w:eastAsia="Times New Roman" w:cs="Arial"/>
              </w:rPr>
              <w:t>191 Produktivne naložbe v MSP, povezane predvsem z biotehnologijami</w:t>
            </w:r>
          </w:p>
        </w:tc>
        <w:tc>
          <w:tcPr>
            <w:tcW w:w="1827" w:type="dxa"/>
          </w:tcPr>
          <w:p w14:paraId="440DB76C" w14:textId="77777777" w:rsidR="00153B63" w:rsidRDefault="00153B63" w:rsidP="00F545BB">
            <w:pPr>
              <w:rPr>
                <w:rFonts w:eastAsia="Times New Roman" w:cs="Arial"/>
              </w:rPr>
            </w:pPr>
            <w:r>
              <w:rPr>
                <w:rFonts w:eastAsia="Times New Roman" w:cs="Arial"/>
              </w:rPr>
              <w:t>1.060.000</w:t>
            </w:r>
          </w:p>
        </w:tc>
      </w:tr>
      <w:tr w:rsidR="00153B63" w14:paraId="70A1E257" w14:textId="77777777" w:rsidTr="006059E7">
        <w:trPr>
          <w:trHeight w:val="300"/>
        </w:trPr>
        <w:tc>
          <w:tcPr>
            <w:tcW w:w="1239" w:type="dxa"/>
          </w:tcPr>
          <w:p w14:paraId="5C5018E2" w14:textId="77777777" w:rsidR="00153B63" w:rsidRPr="00FE5518" w:rsidRDefault="00153B63" w:rsidP="00F545BB">
            <w:pPr>
              <w:rPr>
                <w:rFonts w:eastAsia="Times New Roman" w:cs="Arial"/>
              </w:rPr>
            </w:pPr>
            <w:r w:rsidRPr="00FE5518">
              <w:rPr>
                <w:rFonts w:eastAsia="Times New Roman" w:cs="Arial"/>
              </w:rPr>
              <w:t>1</w:t>
            </w:r>
          </w:p>
        </w:tc>
        <w:tc>
          <w:tcPr>
            <w:tcW w:w="1125" w:type="dxa"/>
          </w:tcPr>
          <w:p w14:paraId="07D779FC" w14:textId="77777777" w:rsidR="00153B63" w:rsidRPr="00FE5518" w:rsidRDefault="00153B63" w:rsidP="00F545BB">
            <w:pPr>
              <w:rPr>
                <w:rFonts w:eastAsia="Times New Roman" w:cs="Arial"/>
              </w:rPr>
            </w:pPr>
            <w:r w:rsidRPr="00FE5518">
              <w:rPr>
                <w:rFonts w:eastAsia="Times New Roman" w:cs="Arial"/>
              </w:rPr>
              <w:t>RSO1.6</w:t>
            </w:r>
          </w:p>
        </w:tc>
        <w:tc>
          <w:tcPr>
            <w:tcW w:w="1128" w:type="dxa"/>
          </w:tcPr>
          <w:p w14:paraId="706F70E4" w14:textId="77777777" w:rsidR="00153B63" w:rsidRPr="00FE5518" w:rsidRDefault="00153B63" w:rsidP="00F545BB">
            <w:pPr>
              <w:rPr>
                <w:rFonts w:eastAsia="Times New Roman" w:cs="Arial"/>
              </w:rPr>
            </w:pPr>
            <w:r w:rsidRPr="00FE5518">
              <w:rPr>
                <w:rFonts w:eastAsia="Times New Roman" w:cs="Arial"/>
              </w:rPr>
              <w:t>ESRR</w:t>
            </w:r>
          </w:p>
        </w:tc>
        <w:tc>
          <w:tcPr>
            <w:tcW w:w="1323" w:type="dxa"/>
          </w:tcPr>
          <w:p w14:paraId="7E4ACB71" w14:textId="77777777" w:rsidR="00153B63" w:rsidRDefault="00153B63" w:rsidP="00F545BB">
            <w:pPr>
              <w:rPr>
                <w:rFonts w:eastAsia="Times New Roman" w:cs="Arial"/>
              </w:rPr>
            </w:pPr>
            <w:r>
              <w:rPr>
                <w:rFonts w:eastAsia="Times New Roman" w:cs="Arial"/>
              </w:rPr>
              <w:t>Manj</w:t>
            </w:r>
            <w:r w:rsidRPr="00FE5518">
              <w:rPr>
                <w:rFonts w:eastAsia="Times New Roman" w:cs="Arial"/>
              </w:rPr>
              <w:t xml:space="preserve"> razvite regije</w:t>
            </w:r>
          </w:p>
        </w:tc>
        <w:tc>
          <w:tcPr>
            <w:tcW w:w="6961" w:type="dxa"/>
          </w:tcPr>
          <w:p w14:paraId="166BAE8E" w14:textId="77777777" w:rsidR="00153B63" w:rsidRPr="00FE5518" w:rsidRDefault="00153B63" w:rsidP="00F545BB">
            <w:pPr>
              <w:jc w:val="both"/>
              <w:rPr>
                <w:rFonts w:eastAsia="Times New Roman" w:cs="Arial"/>
              </w:rPr>
            </w:pPr>
            <w:r w:rsidRPr="00FE5518">
              <w:rPr>
                <w:rFonts w:eastAsia="Times New Roman" w:cs="Arial"/>
              </w:rPr>
              <w:t>192 Produktivne naložbe v velika podjetja, povezane predvsem z globokimi in digitalnimi tehnologijami</w:t>
            </w:r>
          </w:p>
        </w:tc>
        <w:tc>
          <w:tcPr>
            <w:tcW w:w="1827" w:type="dxa"/>
          </w:tcPr>
          <w:p w14:paraId="3C1444D8" w14:textId="77777777" w:rsidR="00153B63" w:rsidRDefault="00153B63" w:rsidP="00F545BB">
            <w:pPr>
              <w:rPr>
                <w:rFonts w:eastAsia="Times New Roman" w:cs="Arial"/>
              </w:rPr>
            </w:pPr>
            <w:r>
              <w:rPr>
                <w:rFonts w:eastAsia="Times New Roman" w:cs="Arial"/>
              </w:rPr>
              <w:t>590.000</w:t>
            </w:r>
          </w:p>
        </w:tc>
      </w:tr>
      <w:tr w:rsidR="00153B63" w14:paraId="26E65D06" w14:textId="77777777" w:rsidTr="006059E7">
        <w:trPr>
          <w:trHeight w:val="300"/>
        </w:trPr>
        <w:tc>
          <w:tcPr>
            <w:tcW w:w="1239" w:type="dxa"/>
          </w:tcPr>
          <w:p w14:paraId="0D751593" w14:textId="77777777" w:rsidR="00153B63" w:rsidRPr="00FE5518" w:rsidRDefault="00153B63" w:rsidP="00F545BB">
            <w:pPr>
              <w:rPr>
                <w:rFonts w:eastAsia="Times New Roman" w:cs="Arial"/>
              </w:rPr>
            </w:pPr>
            <w:r w:rsidRPr="00FE5518">
              <w:rPr>
                <w:rFonts w:eastAsia="Times New Roman" w:cs="Arial"/>
              </w:rPr>
              <w:t>1</w:t>
            </w:r>
          </w:p>
        </w:tc>
        <w:tc>
          <w:tcPr>
            <w:tcW w:w="1125" w:type="dxa"/>
          </w:tcPr>
          <w:p w14:paraId="5FC96684" w14:textId="77777777" w:rsidR="00153B63" w:rsidRPr="00FE5518" w:rsidRDefault="00153B63" w:rsidP="00F545BB">
            <w:pPr>
              <w:rPr>
                <w:rFonts w:eastAsia="Times New Roman" w:cs="Arial"/>
              </w:rPr>
            </w:pPr>
            <w:r w:rsidRPr="00FE5518">
              <w:rPr>
                <w:rFonts w:eastAsia="Times New Roman" w:cs="Arial"/>
              </w:rPr>
              <w:t>RSO1.6</w:t>
            </w:r>
          </w:p>
        </w:tc>
        <w:tc>
          <w:tcPr>
            <w:tcW w:w="1128" w:type="dxa"/>
          </w:tcPr>
          <w:p w14:paraId="4C6EC60C" w14:textId="77777777" w:rsidR="00153B63" w:rsidRPr="00FE5518" w:rsidRDefault="00153B63" w:rsidP="00F545BB">
            <w:pPr>
              <w:rPr>
                <w:rFonts w:eastAsia="Times New Roman" w:cs="Arial"/>
              </w:rPr>
            </w:pPr>
            <w:r w:rsidRPr="00FE5518">
              <w:rPr>
                <w:rFonts w:eastAsia="Times New Roman" w:cs="Arial"/>
              </w:rPr>
              <w:t>ESRR</w:t>
            </w:r>
          </w:p>
        </w:tc>
        <w:tc>
          <w:tcPr>
            <w:tcW w:w="1323" w:type="dxa"/>
          </w:tcPr>
          <w:p w14:paraId="50B08A02" w14:textId="77777777" w:rsidR="00153B63" w:rsidRDefault="00153B63" w:rsidP="00F545BB">
            <w:pPr>
              <w:rPr>
                <w:rFonts w:eastAsia="Times New Roman" w:cs="Arial"/>
              </w:rPr>
            </w:pPr>
            <w:r>
              <w:rPr>
                <w:rFonts w:eastAsia="Times New Roman" w:cs="Arial"/>
              </w:rPr>
              <w:t>Manj</w:t>
            </w:r>
            <w:r w:rsidRPr="00FE5518">
              <w:rPr>
                <w:rFonts w:eastAsia="Times New Roman" w:cs="Arial"/>
              </w:rPr>
              <w:t xml:space="preserve"> razvite regije</w:t>
            </w:r>
          </w:p>
        </w:tc>
        <w:tc>
          <w:tcPr>
            <w:tcW w:w="6961" w:type="dxa"/>
          </w:tcPr>
          <w:p w14:paraId="1FAB4BCA" w14:textId="77777777" w:rsidR="00153B63" w:rsidRPr="00FE5518" w:rsidRDefault="00153B63" w:rsidP="00F545BB">
            <w:pPr>
              <w:jc w:val="both"/>
              <w:rPr>
                <w:rFonts w:eastAsia="Times New Roman" w:cs="Arial"/>
              </w:rPr>
            </w:pPr>
            <w:r w:rsidRPr="00FE5518">
              <w:rPr>
                <w:rFonts w:eastAsia="Times New Roman" w:cs="Arial"/>
              </w:rPr>
              <w:t>193 Produktivne naložbe v MSP, povezane predvsem z globokimi in digitalnimi tehnologijami</w:t>
            </w:r>
          </w:p>
        </w:tc>
        <w:tc>
          <w:tcPr>
            <w:tcW w:w="1827" w:type="dxa"/>
          </w:tcPr>
          <w:p w14:paraId="09874ECA" w14:textId="77777777" w:rsidR="00153B63" w:rsidRDefault="00153B63" w:rsidP="00F545BB">
            <w:pPr>
              <w:rPr>
                <w:rFonts w:eastAsia="Times New Roman" w:cs="Arial"/>
              </w:rPr>
            </w:pPr>
            <w:r>
              <w:rPr>
                <w:rFonts w:eastAsia="Times New Roman" w:cs="Arial"/>
              </w:rPr>
              <w:t>1.250.000</w:t>
            </w:r>
          </w:p>
        </w:tc>
      </w:tr>
      <w:tr w:rsidR="00153B63" w14:paraId="424B32DC" w14:textId="77777777" w:rsidTr="006059E7">
        <w:trPr>
          <w:trHeight w:val="300"/>
        </w:trPr>
        <w:tc>
          <w:tcPr>
            <w:tcW w:w="1239" w:type="dxa"/>
          </w:tcPr>
          <w:p w14:paraId="6E8B6726" w14:textId="77777777" w:rsidR="00153B63" w:rsidRPr="00FE5518" w:rsidRDefault="00153B63" w:rsidP="00F545BB">
            <w:pPr>
              <w:rPr>
                <w:rFonts w:eastAsia="Times New Roman" w:cs="Arial"/>
              </w:rPr>
            </w:pPr>
            <w:r>
              <w:rPr>
                <w:rFonts w:eastAsia="Times New Roman" w:cs="Arial"/>
              </w:rPr>
              <w:t>1</w:t>
            </w:r>
          </w:p>
        </w:tc>
        <w:tc>
          <w:tcPr>
            <w:tcW w:w="1125" w:type="dxa"/>
          </w:tcPr>
          <w:p w14:paraId="750110F1" w14:textId="77777777" w:rsidR="00153B63" w:rsidRPr="00FE5518" w:rsidRDefault="00153B63" w:rsidP="00F545BB">
            <w:pPr>
              <w:rPr>
                <w:rFonts w:eastAsia="Times New Roman" w:cs="Arial"/>
              </w:rPr>
            </w:pPr>
            <w:r>
              <w:rPr>
                <w:rFonts w:eastAsia="Times New Roman" w:cs="Arial"/>
              </w:rPr>
              <w:t>RSO1.6</w:t>
            </w:r>
          </w:p>
        </w:tc>
        <w:tc>
          <w:tcPr>
            <w:tcW w:w="1128" w:type="dxa"/>
          </w:tcPr>
          <w:p w14:paraId="44F3DC5F" w14:textId="4FFCD491" w:rsidR="00153B63" w:rsidRPr="00D82F16" w:rsidRDefault="00443178" w:rsidP="00F545BB">
            <w:pPr>
              <w:rPr>
                <w:rFonts w:eastAsia="Times New Roman" w:cs="Arial"/>
                <w:b/>
                <w:bCs/>
              </w:rPr>
            </w:pPr>
            <w:r w:rsidRPr="00D82F16">
              <w:rPr>
                <w:rFonts w:eastAsia="Times New Roman" w:cs="Arial"/>
                <w:b/>
                <w:bCs/>
              </w:rPr>
              <w:t>SKUPAJ</w:t>
            </w:r>
          </w:p>
        </w:tc>
        <w:tc>
          <w:tcPr>
            <w:tcW w:w="1323" w:type="dxa"/>
          </w:tcPr>
          <w:p w14:paraId="5A59F4DD" w14:textId="77777777" w:rsidR="00153B63" w:rsidRDefault="00153B63" w:rsidP="00F545BB">
            <w:pPr>
              <w:rPr>
                <w:rFonts w:eastAsia="Times New Roman" w:cs="Arial"/>
              </w:rPr>
            </w:pPr>
          </w:p>
        </w:tc>
        <w:tc>
          <w:tcPr>
            <w:tcW w:w="6961" w:type="dxa"/>
          </w:tcPr>
          <w:p w14:paraId="48139FA5" w14:textId="77777777" w:rsidR="00153B63" w:rsidRPr="00FE5518" w:rsidRDefault="00153B63" w:rsidP="00F545BB">
            <w:pPr>
              <w:jc w:val="both"/>
              <w:rPr>
                <w:rFonts w:eastAsia="Times New Roman" w:cs="Arial"/>
              </w:rPr>
            </w:pPr>
          </w:p>
        </w:tc>
        <w:tc>
          <w:tcPr>
            <w:tcW w:w="1827" w:type="dxa"/>
          </w:tcPr>
          <w:p w14:paraId="33E06338" w14:textId="77777777" w:rsidR="00153B63" w:rsidRPr="00D82F16" w:rsidRDefault="00153B63" w:rsidP="00F545BB">
            <w:pPr>
              <w:rPr>
                <w:rFonts w:eastAsia="Times New Roman" w:cs="Arial"/>
                <w:b/>
                <w:bCs/>
              </w:rPr>
            </w:pPr>
            <w:r w:rsidRPr="00D82F16">
              <w:rPr>
                <w:rFonts w:eastAsia="Times New Roman" w:cs="Arial"/>
                <w:b/>
                <w:bCs/>
              </w:rPr>
              <w:t>100.000.000</w:t>
            </w:r>
          </w:p>
        </w:tc>
      </w:tr>
    </w:tbl>
    <w:p w14:paraId="01EBBF40" w14:textId="77777777" w:rsidR="000F4CBC" w:rsidRDefault="000F4CBC" w:rsidP="000F4CBC">
      <w:pPr>
        <w:pStyle w:val="Brezrazmikov"/>
      </w:pPr>
    </w:p>
    <w:p w14:paraId="6818213F" w14:textId="77777777" w:rsidR="006059E7" w:rsidRDefault="006059E7" w:rsidP="000F4CBC">
      <w:pPr>
        <w:pStyle w:val="Brezrazmikov"/>
        <w:sectPr w:rsidR="006059E7" w:rsidSect="006059E7">
          <w:pgSz w:w="16838" w:h="11906" w:orient="landscape"/>
          <w:pgMar w:top="1418" w:right="1418" w:bottom="1418" w:left="1418" w:header="709" w:footer="709" w:gutter="0"/>
          <w:cols w:space="708"/>
          <w:docGrid w:linePitch="360"/>
        </w:sectPr>
      </w:pPr>
    </w:p>
    <w:p w14:paraId="04665850" w14:textId="77777777" w:rsidR="00B56689" w:rsidRDefault="00B56689" w:rsidP="000F4CBC">
      <w:pPr>
        <w:pStyle w:val="Brezrazmikov"/>
      </w:pPr>
    </w:p>
    <w:p w14:paraId="265FA818" w14:textId="30D7187A" w:rsidR="00B56689" w:rsidRDefault="5B88CA3A" w:rsidP="0D9B30E1">
      <w:pPr>
        <w:pStyle w:val="Napis"/>
        <w:keepNext/>
        <w:spacing w:after="0"/>
        <w:rPr>
          <w:i w:val="0"/>
          <w:iCs w:val="0"/>
          <w:color w:val="auto"/>
          <w:sz w:val="20"/>
          <w:szCs w:val="20"/>
        </w:rPr>
      </w:pPr>
      <w:bookmarkStart w:id="79" w:name="_Toc191459961"/>
      <w:r w:rsidRPr="0D9B30E1">
        <w:rPr>
          <w:i w:val="0"/>
          <w:iCs w:val="0"/>
          <w:color w:val="auto"/>
          <w:sz w:val="20"/>
          <w:szCs w:val="20"/>
        </w:rPr>
        <w:t xml:space="preserve">Tabela </w:t>
      </w:r>
      <w:r w:rsidRPr="0D9B30E1">
        <w:rPr>
          <w:i w:val="0"/>
          <w:iCs w:val="0"/>
          <w:color w:val="auto"/>
          <w:sz w:val="20"/>
          <w:szCs w:val="20"/>
        </w:rPr>
        <w:fldChar w:fldCharType="begin"/>
      </w:r>
      <w:r w:rsidRPr="0D9B30E1">
        <w:rPr>
          <w:i w:val="0"/>
          <w:iCs w:val="0"/>
          <w:color w:val="auto"/>
          <w:sz w:val="20"/>
          <w:szCs w:val="20"/>
        </w:rPr>
        <w:instrText xml:space="preserve"> SEQ Tabela \* ARABIC </w:instrText>
      </w:r>
      <w:r w:rsidRPr="0D9B30E1">
        <w:rPr>
          <w:i w:val="0"/>
          <w:iCs w:val="0"/>
          <w:color w:val="auto"/>
          <w:sz w:val="20"/>
          <w:szCs w:val="20"/>
        </w:rPr>
        <w:fldChar w:fldCharType="separate"/>
      </w:r>
      <w:r w:rsidR="00784805">
        <w:rPr>
          <w:i w:val="0"/>
          <w:iCs w:val="0"/>
          <w:noProof/>
          <w:color w:val="auto"/>
          <w:sz w:val="20"/>
          <w:szCs w:val="20"/>
        </w:rPr>
        <w:t>17</w:t>
      </w:r>
      <w:r w:rsidRPr="0D9B30E1">
        <w:rPr>
          <w:i w:val="0"/>
          <w:iCs w:val="0"/>
          <w:color w:val="auto"/>
          <w:sz w:val="20"/>
          <w:szCs w:val="20"/>
        </w:rPr>
        <w:fldChar w:fldCharType="end"/>
      </w:r>
      <w:r w:rsidRPr="0D9B30E1">
        <w:rPr>
          <w:i w:val="0"/>
          <w:iCs w:val="0"/>
          <w:color w:val="auto"/>
          <w:sz w:val="20"/>
          <w:szCs w:val="20"/>
        </w:rPr>
        <w:t>: Razsežnost 2 – oblika financiranja</w:t>
      </w:r>
      <w:bookmarkEnd w:id="79"/>
    </w:p>
    <w:p w14:paraId="0C29151B" w14:textId="77777777" w:rsidR="00CB50FC" w:rsidRPr="00CB50FC" w:rsidRDefault="00CB50FC" w:rsidP="00CB50FC">
      <w:pPr>
        <w:spacing w:after="0"/>
      </w:pPr>
    </w:p>
    <w:tbl>
      <w:tblPr>
        <w:tblStyle w:val="Tabelamrea4"/>
        <w:tblW w:w="0" w:type="auto"/>
        <w:tblLook w:val="04A0" w:firstRow="1" w:lastRow="0" w:firstColumn="1" w:lastColumn="0" w:noHBand="0" w:noVBand="1"/>
      </w:tblPr>
      <w:tblGrid>
        <w:gridCol w:w="1239"/>
        <w:gridCol w:w="1072"/>
        <w:gridCol w:w="1028"/>
        <w:gridCol w:w="1319"/>
        <w:gridCol w:w="2701"/>
        <w:gridCol w:w="1703"/>
      </w:tblGrid>
      <w:tr w:rsidR="00B56689" w:rsidRPr="00584252" w14:paraId="67211C1D" w14:textId="77777777" w:rsidTr="006432F9">
        <w:tc>
          <w:tcPr>
            <w:tcW w:w="1239" w:type="dxa"/>
            <w:shd w:val="clear" w:color="auto" w:fill="D9E2F3" w:themeFill="accent1" w:themeFillTint="33"/>
          </w:tcPr>
          <w:p w14:paraId="4581F311" w14:textId="77777777" w:rsidR="00B56689" w:rsidRPr="00CB50FC" w:rsidRDefault="00B56689" w:rsidP="00F545BB">
            <w:pPr>
              <w:rPr>
                <w:rFonts w:eastAsia="Times New Roman" w:cs="Arial"/>
              </w:rPr>
            </w:pPr>
            <w:r w:rsidRPr="00CB50FC">
              <w:rPr>
                <w:rFonts w:eastAsia="Times New Roman" w:cs="Arial"/>
              </w:rPr>
              <w:t>Prednostna naloga</w:t>
            </w:r>
          </w:p>
        </w:tc>
        <w:tc>
          <w:tcPr>
            <w:tcW w:w="1072" w:type="dxa"/>
            <w:shd w:val="clear" w:color="auto" w:fill="D9E2F3" w:themeFill="accent1" w:themeFillTint="33"/>
          </w:tcPr>
          <w:p w14:paraId="2556A809" w14:textId="77777777" w:rsidR="00B56689" w:rsidRPr="00CB50FC" w:rsidRDefault="00B56689" w:rsidP="00F545BB">
            <w:pPr>
              <w:rPr>
                <w:rFonts w:eastAsia="Times New Roman" w:cs="Arial"/>
              </w:rPr>
            </w:pPr>
            <w:r w:rsidRPr="00CB50FC">
              <w:rPr>
                <w:rFonts w:eastAsia="Times New Roman" w:cs="Arial"/>
              </w:rPr>
              <w:t>Specifični cilj</w:t>
            </w:r>
          </w:p>
        </w:tc>
        <w:tc>
          <w:tcPr>
            <w:tcW w:w="885" w:type="dxa"/>
            <w:shd w:val="clear" w:color="auto" w:fill="D9E2F3" w:themeFill="accent1" w:themeFillTint="33"/>
          </w:tcPr>
          <w:p w14:paraId="08791CC4" w14:textId="77777777" w:rsidR="00B56689" w:rsidRPr="00CB50FC" w:rsidRDefault="00B56689" w:rsidP="00F545BB">
            <w:pPr>
              <w:rPr>
                <w:rFonts w:eastAsia="Times New Roman" w:cs="Arial"/>
              </w:rPr>
            </w:pPr>
            <w:r w:rsidRPr="00CB50FC">
              <w:rPr>
                <w:rFonts w:eastAsia="Times New Roman" w:cs="Arial"/>
              </w:rPr>
              <w:t>Sklad</w:t>
            </w:r>
          </w:p>
        </w:tc>
        <w:tc>
          <w:tcPr>
            <w:tcW w:w="1335" w:type="dxa"/>
            <w:shd w:val="clear" w:color="auto" w:fill="D9E2F3" w:themeFill="accent1" w:themeFillTint="33"/>
          </w:tcPr>
          <w:p w14:paraId="29514739" w14:textId="77777777" w:rsidR="00B56689" w:rsidRPr="00CB50FC" w:rsidRDefault="00B56689" w:rsidP="00F545BB">
            <w:pPr>
              <w:rPr>
                <w:rFonts w:eastAsia="Times New Roman" w:cs="Arial"/>
              </w:rPr>
            </w:pPr>
            <w:r w:rsidRPr="00CB50FC">
              <w:rPr>
                <w:rFonts w:eastAsia="Times New Roman" w:cs="Arial"/>
              </w:rPr>
              <w:t>Kategorija regije</w:t>
            </w:r>
          </w:p>
        </w:tc>
        <w:tc>
          <w:tcPr>
            <w:tcW w:w="2820" w:type="dxa"/>
            <w:shd w:val="clear" w:color="auto" w:fill="D9E2F3" w:themeFill="accent1" w:themeFillTint="33"/>
          </w:tcPr>
          <w:p w14:paraId="2E261C24" w14:textId="77777777" w:rsidR="00B56689" w:rsidRPr="00CB50FC" w:rsidRDefault="00B56689" w:rsidP="00F545BB">
            <w:pPr>
              <w:rPr>
                <w:rFonts w:eastAsia="Times New Roman" w:cs="Arial"/>
              </w:rPr>
            </w:pPr>
            <w:r w:rsidRPr="00CB50FC">
              <w:rPr>
                <w:rFonts w:eastAsia="Times New Roman" w:cs="Arial"/>
              </w:rPr>
              <w:t>Oznaka</w:t>
            </w:r>
          </w:p>
        </w:tc>
        <w:tc>
          <w:tcPr>
            <w:tcW w:w="1711" w:type="dxa"/>
            <w:shd w:val="clear" w:color="auto" w:fill="D9E2F3" w:themeFill="accent1" w:themeFillTint="33"/>
          </w:tcPr>
          <w:p w14:paraId="07126108" w14:textId="77777777" w:rsidR="00B56689" w:rsidRPr="00CB50FC" w:rsidRDefault="00B56689" w:rsidP="00F545BB">
            <w:pPr>
              <w:rPr>
                <w:rFonts w:eastAsia="Times New Roman" w:cs="Arial"/>
              </w:rPr>
            </w:pPr>
            <w:r w:rsidRPr="00CB50FC">
              <w:rPr>
                <w:rFonts w:eastAsia="Times New Roman" w:cs="Arial"/>
              </w:rPr>
              <w:t>Znesek (v EUR)</w:t>
            </w:r>
          </w:p>
        </w:tc>
      </w:tr>
      <w:tr w:rsidR="00B56689" w:rsidRPr="00584252" w14:paraId="7BA5ACC5" w14:textId="77777777" w:rsidTr="006432F9">
        <w:tc>
          <w:tcPr>
            <w:tcW w:w="1239" w:type="dxa"/>
          </w:tcPr>
          <w:p w14:paraId="7C4064D1" w14:textId="77777777" w:rsidR="00B56689" w:rsidRPr="00CB50FC" w:rsidRDefault="00B56689" w:rsidP="00F545BB">
            <w:pPr>
              <w:rPr>
                <w:rFonts w:eastAsia="Times New Roman" w:cs="Arial"/>
              </w:rPr>
            </w:pPr>
            <w:r w:rsidRPr="00CB50FC">
              <w:rPr>
                <w:rFonts w:eastAsia="Times New Roman" w:cs="Arial"/>
              </w:rPr>
              <w:t>1</w:t>
            </w:r>
          </w:p>
        </w:tc>
        <w:tc>
          <w:tcPr>
            <w:tcW w:w="1072" w:type="dxa"/>
          </w:tcPr>
          <w:p w14:paraId="4D688F6D" w14:textId="77777777" w:rsidR="00B56689" w:rsidRPr="00CB50FC" w:rsidRDefault="00B56689" w:rsidP="00F545BB">
            <w:pPr>
              <w:rPr>
                <w:rFonts w:eastAsia="Times New Roman" w:cs="Arial"/>
              </w:rPr>
            </w:pPr>
            <w:r w:rsidRPr="00CB50FC">
              <w:rPr>
                <w:rFonts w:eastAsia="Times New Roman" w:cs="Arial"/>
              </w:rPr>
              <w:t>RSO1.6</w:t>
            </w:r>
          </w:p>
        </w:tc>
        <w:tc>
          <w:tcPr>
            <w:tcW w:w="885" w:type="dxa"/>
          </w:tcPr>
          <w:p w14:paraId="3F5318D9" w14:textId="77777777" w:rsidR="00B56689" w:rsidRPr="00CB50FC" w:rsidRDefault="00B56689" w:rsidP="00F545BB">
            <w:pPr>
              <w:rPr>
                <w:rFonts w:eastAsia="Times New Roman" w:cs="Arial"/>
              </w:rPr>
            </w:pPr>
            <w:r w:rsidRPr="00CB50FC">
              <w:rPr>
                <w:rFonts w:eastAsia="Times New Roman" w:cs="Arial"/>
              </w:rPr>
              <w:t>ESRR</w:t>
            </w:r>
          </w:p>
        </w:tc>
        <w:tc>
          <w:tcPr>
            <w:tcW w:w="1335" w:type="dxa"/>
          </w:tcPr>
          <w:p w14:paraId="71ED04E9" w14:textId="77777777" w:rsidR="00B56689" w:rsidRPr="00CB50FC" w:rsidRDefault="00B56689" w:rsidP="00F545BB">
            <w:pPr>
              <w:rPr>
                <w:rFonts w:eastAsia="Times New Roman" w:cs="Arial"/>
              </w:rPr>
            </w:pPr>
            <w:r w:rsidRPr="00CB50FC">
              <w:rPr>
                <w:rFonts w:eastAsia="Times New Roman" w:cs="Arial"/>
              </w:rPr>
              <w:t>Bolj razvite regije</w:t>
            </w:r>
          </w:p>
        </w:tc>
        <w:tc>
          <w:tcPr>
            <w:tcW w:w="2820" w:type="dxa"/>
          </w:tcPr>
          <w:p w14:paraId="2CE254CF" w14:textId="77777777" w:rsidR="00B56689" w:rsidRPr="00CB50FC" w:rsidRDefault="00B56689" w:rsidP="00F545BB">
            <w:pPr>
              <w:rPr>
                <w:rFonts w:eastAsia="Times New Roman" w:cs="Arial"/>
              </w:rPr>
            </w:pPr>
            <w:r w:rsidRPr="00CB50FC">
              <w:rPr>
                <w:rFonts w:eastAsia="Times New Roman" w:cs="Arial"/>
              </w:rPr>
              <w:t>01 Nepovratna sredstva</w:t>
            </w:r>
          </w:p>
        </w:tc>
        <w:tc>
          <w:tcPr>
            <w:tcW w:w="1711" w:type="dxa"/>
          </w:tcPr>
          <w:p w14:paraId="01DC4DEA" w14:textId="77777777" w:rsidR="00B56689" w:rsidRPr="00CB50FC" w:rsidRDefault="00B56689" w:rsidP="00F545BB">
            <w:pPr>
              <w:rPr>
                <w:rFonts w:eastAsia="Times New Roman" w:cs="Arial"/>
              </w:rPr>
            </w:pPr>
            <w:r w:rsidRPr="00CB50FC">
              <w:rPr>
                <w:rFonts w:eastAsia="Times New Roman" w:cs="Arial"/>
              </w:rPr>
              <w:t>47.216.253,60</w:t>
            </w:r>
          </w:p>
        </w:tc>
      </w:tr>
      <w:tr w:rsidR="00B56689" w:rsidRPr="00584252" w14:paraId="2DFC9701" w14:textId="77777777" w:rsidTr="006432F9">
        <w:tc>
          <w:tcPr>
            <w:tcW w:w="1239" w:type="dxa"/>
          </w:tcPr>
          <w:p w14:paraId="1DE20C90" w14:textId="77777777" w:rsidR="00B56689" w:rsidRPr="00CB50FC" w:rsidRDefault="00B56689" w:rsidP="00F545BB">
            <w:pPr>
              <w:rPr>
                <w:rFonts w:eastAsia="Times New Roman" w:cs="Arial"/>
              </w:rPr>
            </w:pPr>
            <w:r w:rsidRPr="00CB50FC">
              <w:rPr>
                <w:rFonts w:eastAsia="Times New Roman" w:cs="Arial"/>
              </w:rPr>
              <w:t>1</w:t>
            </w:r>
          </w:p>
        </w:tc>
        <w:tc>
          <w:tcPr>
            <w:tcW w:w="1072" w:type="dxa"/>
          </w:tcPr>
          <w:p w14:paraId="0408B89F" w14:textId="77777777" w:rsidR="00B56689" w:rsidRPr="00CB50FC" w:rsidRDefault="00B56689" w:rsidP="00F545BB">
            <w:pPr>
              <w:rPr>
                <w:rFonts w:eastAsia="Times New Roman" w:cs="Arial"/>
              </w:rPr>
            </w:pPr>
            <w:r w:rsidRPr="00CB50FC">
              <w:rPr>
                <w:rFonts w:eastAsia="Times New Roman" w:cs="Arial"/>
              </w:rPr>
              <w:t>RSO1.6</w:t>
            </w:r>
          </w:p>
        </w:tc>
        <w:tc>
          <w:tcPr>
            <w:tcW w:w="885" w:type="dxa"/>
          </w:tcPr>
          <w:p w14:paraId="5D9F6A1A" w14:textId="77777777" w:rsidR="00B56689" w:rsidRPr="00CB50FC" w:rsidRDefault="00B56689" w:rsidP="00F545BB">
            <w:pPr>
              <w:rPr>
                <w:rFonts w:eastAsia="Times New Roman" w:cs="Arial"/>
              </w:rPr>
            </w:pPr>
            <w:r w:rsidRPr="00CB50FC">
              <w:rPr>
                <w:rFonts w:eastAsia="Times New Roman" w:cs="Arial"/>
              </w:rPr>
              <w:t>ESRR</w:t>
            </w:r>
          </w:p>
        </w:tc>
        <w:tc>
          <w:tcPr>
            <w:tcW w:w="1335" w:type="dxa"/>
          </w:tcPr>
          <w:p w14:paraId="47B64614" w14:textId="77777777" w:rsidR="00B56689" w:rsidRPr="00CB50FC" w:rsidRDefault="00B56689" w:rsidP="00F545BB">
            <w:pPr>
              <w:rPr>
                <w:rFonts w:eastAsia="Times New Roman" w:cs="Arial"/>
              </w:rPr>
            </w:pPr>
            <w:r w:rsidRPr="00CB50FC">
              <w:rPr>
                <w:rFonts w:eastAsia="Times New Roman" w:cs="Arial"/>
              </w:rPr>
              <w:t>Manj razvite regije</w:t>
            </w:r>
          </w:p>
        </w:tc>
        <w:tc>
          <w:tcPr>
            <w:tcW w:w="2820" w:type="dxa"/>
          </w:tcPr>
          <w:p w14:paraId="36AB56EA" w14:textId="77777777" w:rsidR="00B56689" w:rsidRPr="00CB50FC" w:rsidRDefault="00B56689" w:rsidP="00F545BB">
            <w:pPr>
              <w:rPr>
                <w:rFonts w:eastAsia="Times New Roman" w:cs="Arial"/>
              </w:rPr>
            </w:pPr>
            <w:r w:rsidRPr="00CB50FC">
              <w:rPr>
                <w:rFonts w:eastAsia="Times New Roman" w:cs="Arial"/>
              </w:rPr>
              <w:t>01 Nepovratna sredstva</w:t>
            </w:r>
          </w:p>
        </w:tc>
        <w:tc>
          <w:tcPr>
            <w:tcW w:w="1711" w:type="dxa"/>
          </w:tcPr>
          <w:p w14:paraId="66322D31" w14:textId="77777777" w:rsidR="00B56689" w:rsidRPr="00CB50FC" w:rsidRDefault="00B56689" w:rsidP="00F545BB">
            <w:pPr>
              <w:rPr>
                <w:rFonts w:eastAsia="Times New Roman" w:cs="Arial"/>
              </w:rPr>
            </w:pPr>
            <w:r w:rsidRPr="00CB50FC">
              <w:rPr>
                <w:rFonts w:eastAsia="Times New Roman" w:cs="Arial"/>
              </w:rPr>
              <w:t>52.783.746,40</w:t>
            </w:r>
          </w:p>
        </w:tc>
      </w:tr>
      <w:tr w:rsidR="00B56689" w:rsidRPr="00584252" w14:paraId="058A9D53" w14:textId="77777777" w:rsidTr="006432F9">
        <w:trPr>
          <w:trHeight w:val="288"/>
        </w:trPr>
        <w:tc>
          <w:tcPr>
            <w:tcW w:w="1239" w:type="dxa"/>
          </w:tcPr>
          <w:p w14:paraId="4E39D1E9" w14:textId="77777777" w:rsidR="00B56689" w:rsidRPr="00CB50FC" w:rsidRDefault="00B56689" w:rsidP="00F545BB">
            <w:pPr>
              <w:rPr>
                <w:rFonts w:eastAsia="Times New Roman" w:cs="Arial"/>
              </w:rPr>
            </w:pPr>
            <w:r w:rsidRPr="00CB50FC">
              <w:rPr>
                <w:rFonts w:eastAsia="Times New Roman" w:cs="Arial"/>
              </w:rPr>
              <w:t>1</w:t>
            </w:r>
          </w:p>
        </w:tc>
        <w:tc>
          <w:tcPr>
            <w:tcW w:w="1072" w:type="dxa"/>
          </w:tcPr>
          <w:p w14:paraId="1B36BB9A" w14:textId="77777777" w:rsidR="00B56689" w:rsidRPr="00CB50FC" w:rsidRDefault="00B56689" w:rsidP="00F545BB">
            <w:pPr>
              <w:rPr>
                <w:rFonts w:eastAsia="Times New Roman" w:cs="Arial"/>
              </w:rPr>
            </w:pPr>
            <w:r w:rsidRPr="00CB50FC">
              <w:rPr>
                <w:rFonts w:eastAsia="Times New Roman" w:cs="Arial"/>
              </w:rPr>
              <w:t>RSO1.6</w:t>
            </w:r>
          </w:p>
        </w:tc>
        <w:tc>
          <w:tcPr>
            <w:tcW w:w="885" w:type="dxa"/>
          </w:tcPr>
          <w:p w14:paraId="1DC7C243" w14:textId="5BFE157E" w:rsidR="00B56689" w:rsidRPr="00D82F16" w:rsidRDefault="00443178" w:rsidP="00F545BB">
            <w:pPr>
              <w:rPr>
                <w:rFonts w:eastAsia="Times New Roman" w:cs="Arial"/>
                <w:b/>
                <w:bCs/>
              </w:rPr>
            </w:pPr>
            <w:r w:rsidRPr="00D82F16">
              <w:rPr>
                <w:rFonts w:eastAsia="Times New Roman" w:cs="Arial"/>
                <w:b/>
                <w:bCs/>
              </w:rPr>
              <w:t>SKUPAJ</w:t>
            </w:r>
          </w:p>
        </w:tc>
        <w:tc>
          <w:tcPr>
            <w:tcW w:w="1335" w:type="dxa"/>
          </w:tcPr>
          <w:p w14:paraId="13744A7A" w14:textId="77777777" w:rsidR="00B56689" w:rsidRPr="00D82F16" w:rsidRDefault="00B56689" w:rsidP="00F545BB">
            <w:pPr>
              <w:rPr>
                <w:rFonts w:eastAsia="Times New Roman" w:cs="Arial"/>
                <w:b/>
                <w:bCs/>
              </w:rPr>
            </w:pPr>
          </w:p>
        </w:tc>
        <w:tc>
          <w:tcPr>
            <w:tcW w:w="2820" w:type="dxa"/>
          </w:tcPr>
          <w:p w14:paraId="6F59DE65" w14:textId="77777777" w:rsidR="00B56689" w:rsidRPr="00D82F16" w:rsidRDefault="00B56689" w:rsidP="00F545BB">
            <w:pPr>
              <w:rPr>
                <w:rFonts w:eastAsia="Times New Roman" w:cs="Arial"/>
                <w:b/>
                <w:bCs/>
              </w:rPr>
            </w:pPr>
          </w:p>
        </w:tc>
        <w:tc>
          <w:tcPr>
            <w:tcW w:w="1711" w:type="dxa"/>
          </w:tcPr>
          <w:p w14:paraId="65B5ABBF" w14:textId="77777777" w:rsidR="00B56689" w:rsidRPr="00D82F16" w:rsidRDefault="00B56689" w:rsidP="00F545BB">
            <w:pPr>
              <w:rPr>
                <w:rFonts w:eastAsia="Times New Roman" w:cs="Arial"/>
                <w:b/>
                <w:bCs/>
              </w:rPr>
            </w:pPr>
            <w:r w:rsidRPr="00D82F16">
              <w:rPr>
                <w:rFonts w:eastAsia="Times New Roman" w:cs="Arial"/>
                <w:b/>
                <w:bCs/>
              </w:rPr>
              <w:t>100.000.000,00</w:t>
            </w:r>
          </w:p>
        </w:tc>
      </w:tr>
    </w:tbl>
    <w:p w14:paraId="199E9556" w14:textId="77777777" w:rsidR="006059E7" w:rsidRDefault="006059E7" w:rsidP="006059E7">
      <w:pPr>
        <w:pStyle w:val="Naslov2"/>
        <w:numPr>
          <w:ilvl w:val="0"/>
          <w:numId w:val="0"/>
        </w:numPr>
      </w:pPr>
      <w:bookmarkStart w:id="80" w:name="_Toc187148841"/>
      <w:bookmarkStart w:id="81" w:name="_Toc187150244"/>
      <w:bookmarkStart w:id="82" w:name="_Toc187150502"/>
      <w:bookmarkStart w:id="83" w:name="_Toc187150589"/>
      <w:bookmarkStart w:id="84" w:name="_Toc187151272"/>
      <w:bookmarkStart w:id="85" w:name="_Toc187148842"/>
      <w:bookmarkStart w:id="86" w:name="_Toc187149583"/>
      <w:bookmarkStart w:id="87" w:name="_Toc187150245"/>
      <w:bookmarkStart w:id="88" w:name="_Toc187150503"/>
      <w:bookmarkStart w:id="89" w:name="_Toc187150590"/>
      <w:bookmarkStart w:id="90" w:name="_Toc187151273"/>
      <w:bookmarkStart w:id="91" w:name="_Toc187148835"/>
      <w:bookmarkStart w:id="92" w:name="_Toc187150238"/>
      <w:bookmarkStart w:id="93" w:name="_Toc187150496"/>
      <w:bookmarkStart w:id="94" w:name="_Toc187150583"/>
      <w:bookmarkStart w:id="95" w:name="_Toc187148836"/>
      <w:bookmarkStart w:id="96" w:name="_Toc187149577"/>
      <w:bookmarkStart w:id="97" w:name="_Toc187150239"/>
      <w:bookmarkStart w:id="98" w:name="_Toc187150497"/>
      <w:bookmarkStart w:id="99" w:name="_Toc187150584"/>
      <w:bookmarkStart w:id="100" w:name="_Toc187148838"/>
      <w:bookmarkStart w:id="101" w:name="_Toc187150241"/>
      <w:bookmarkStart w:id="102" w:name="_Toc187150499"/>
      <w:bookmarkStart w:id="103" w:name="_Toc187150586"/>
      <w:bookmarkStart w:id="104" w:name="_Toc187148839"/>
      <w:bookmarkStart w:id="105" w:name="_Toc187149580"/>
      <w:bookmarkStart w:id="106" w:name="_Toc187150242"/>
      <w:bookmarkStart w:id="107" w:name="_Toc187150500"/>
      <w:bookmarkStart w:id="108" w:name="_Toc187150587"/>
      <w:bookmarkStart w:id="109" w:name="_Toc187148844"/>
      <w:bookmarkStart w:id="110" w:name="_Toc187150247"/>
      <w:bookmarkStart w:id="111" w:name="_Toc187150505"/>
      <w:bookmarkStart w:id="112" w:name="_Toc187150592"/>
      <w:bookmarkStart w:id="113" w:name="_Toc187151275"/>
      <w:bookmarkStart w:id="114" w:name="_Toc187151415"/>
      <w:bookmarkStart w:id="115" w:name="_Toc187151536"/>
      <w:bookmarkStart w:id="116" w:name="_Toc187151671"/>
      <w:bookmarkStart w:id="117" w:name="_Toc187151884"/>
      <w:bookmarkStart w:id="118" w:name="_Toc187152820"/>
      <w:bookmarkStart w:id="119" w:name="_Toc187153002"/>
      <w:bookmarkStart w:id="120" w:name="_Toc187153869"/>
      <w:bookmarkStart w:id="121" w:name="_Toc187154466"/>
      <w:bookmarkStart w:id="122" w:name="_Toc187154467"/>
      <w:bookmarkEnd w:id="63"/>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E249767" w14:textId="01977D62" w:rsidR="002E1975" w:rsidRPr="002E1975" w:rsidRDefault="002E1975" w:rsidP="00446D40">
      <w:pPr>
        <w:pStyle w:val="Naslov2"/>
        <w:numPr>
          <w:ilvl w:val="1"/>
          <w:numId w:val="2"/>
        </w:numPr>
      </w:pPr>
      <w:bookmarkStart w:id="123" w:name="_Toc191383863"/>
      <w:r w:rsidRPr="002E1975">
        <w:t xml:space="preserve">Cilj politike 2: Bolj zelena, </w:t>
      </w:r>
      <w:proofErr w:type="spellStart"/>
      <w:r w:rsidRPr="002E1975">
        <w:t>nizkoogljična</w:t>
      </w:r>
      <w:proofErr w:type="spellEnd"/>
      <w:r w:rsidRPr="002E1975">
        <w:t xml:space="preserve"> Slovenija, ki je odporna in prehaja na gospodarstvo z ničelnim </w:t>
      </w:r>
      <w:proofErr w:type="spellStart"/>
      <w:r w:rsidRPr="002E1975">
        <w:t>ogljičnim</w:t>
      </w:r>
      <w:proofErr w:type="spellEnd"/>
      <w:r w:rsidRPr="002E1975">
        <w:t xml:space="preserve"> odtisom s spodbujanjem čistega in pravičnega energetskega prehoda, zelenih in modrih naložb, krožnega gospodarstva, blaženja in podnebnih sprememb in prilagajanje nanje ter preprečevanja in obvladovanja tveganj ter trajnostne mestne mobilnosti</w:t>
      </w:r>
      <w:bookmarkEnd w:id="122"/>
      <w:bookmarkEnd w:id="123"/>
      <w:r w:rsidRPr="002E1975" w:rsidDel="00F55563">
        <w:t xml:space="preserve"> </w:t>
      </w:r>
    </w:p>
    <w:p w14:paraId="3CD13D82" w14:textId="77777777" w:rsidR="002E1975" w:rsidRDefault="002E1975" w:rsidP="002E1975">
      <w:pPr>
        <w:autoSpaceDE w:val="0"/>
        <w:autoSpaceDN w:val="0"/>
        <w:adjustRightInd w:val="0"/>
        <w:spacing w:after="0" w:line="240" w:lineRule="auto"/>
        <w:jc w:val="both"/>
        <w:rPr>
          <w:rFonts w:cstheme="minorHAnsi"/>
          <w:b/>
          <w:kern w:val="0"/>
        </w:rPr>
      </w:pPr>
    </w:p>
    <w:p w14:paraId="0E14B3E4" w14:textId="58FE3F07" w:rsidR="00740E26" w:rsidRDefault="00740E26" w:rsidP="002E1975">
      <w:pPr>
        <w:autoSpaceDE w:val="0"/>
        <w:autoSpaceDN w:val="0"/>
        <w:adjustRightInd w:val="0"/>
        <w:spacing w:after="0" w:line="240" w:lineRule="auto"/>
        <w:jc w:val="both"/>
        <w:rPr>
          <w:rFonts w:cstheme="minorHAnsi"/>
          <w:bCs/>
          <w:kern w:val="0"/>
        </w:rPr>
      </w:pPr>
      <w:r>
        <w:rPr>
          <w:rFonts w:cstheme="minorHAnsi"/>
          <w:bCs/>
          <w:kern w:val="0"/>
        </w:rPr>
        <w:t>V nadaljevanju so navedene le ključne spremembe programa po posameznih specifičnih ciljih.</w:t>
      </w:r>
    </w:p>
    <w:p w14:paraId="13FB8B73" w14:textId="77777777" w:rsidR="00740E26" w:rsidRPr="00740E26" w:rsidRDefault="00740E26" w:rsidP="002E1975">
      <w:pPr>
        <w:autoSpaceDE w:val="0"/>
        <w:autoSpaceDN w:val="0"/>
        <w:adjustRightInd w:val="0"/>
        <w:spacing w:after="0" w:line="240" w:lineRule="auto"/>
        <w:jc w:val="both"/>
        <w:rPr>
          <w:rFonts w:cstheme="minorHAnsi"/>
          <w:bCs/>
          <w:kern w:val="0"/>
        </w:rPr>
      </w:pPr>
    </w:p>
    <w:p w14:paraId="42317E11" w14:textId="7B1C2EF8" w:rsidR="002E1975" w:rsidRPr="00353B7D" w:rsidRDefault="002E1975" w:rsidP="00446D40">
      <w:pPr>
        <w:pStyle w:val="Naslov3"/>
        <w:numPr>
          <w:ilvl w:val="2"/>
          <w:numId w:val="2"/>
        </w:numPr>
        <w:rPr>
          <w:color w:val="4472C4" w:themeColor="accent1"/>
        </w:rPr>
      </w:pPr>
      <w:bookmarkStart w:id="124" w:name="_Toc187154468"/>
      <w:bookmarkStart w:id="125" w:name="_Toc191383864"/>
      <w:r w:rsidRPr="00353B7D">
        <w:rPr>
          <w:color w:val="4472C4" w:themeColor="accent1"/>
        </w:rPr>
        <w:t>RSO 2.1 Spodbujanje energijske učinkovitosti in zmanjševanje emisij toplogrednih plinov (ESRR)</w:t>
      </w:r>
      <w:bookmarkEnd w:id="124"/>
      <w:bookmarkEnd w:id="125"/>
    </w:p>
    <w:p w14:paraId="7FBE23D8" w14:textId="77777777" w:rsidR="002E1975" w:rsidRPr="002E1975" w:rsidRDefault="002E1975" w:rsidP="002E1975">
      <w:pPr>
        <w:autoSpaceDE w:val="0"/>
        <w:autoSpaceDN w:val="0"/>
        <w:adjustRightInd w:val="0"/>
        <w:spacing w:after="0" w:line="240" w:lineRule="auto"/>
        <w:jc w:val="both"/>
        <w:rPr>
          <w:rFonts w:cstheme="minorHAnsi"/>
          <w:b/>
          <w:kern w:val="0"/>
        </w:rPr>
      </w:pPr>
    </w:p>
    <w:p w14:paraId="3C721539" w14:textId="77777777" w:rsidR="002E1975" w:rsidRPr="00C13D02" w:rsidRDefault="002E1975" w:rsidP="00446D40">
      <w:pPr>
        <w:numPr>
          <w:ilvl w:val="0"/>
          <w:numId w:val="12"/>
        </w:numPr>
        <w:autoSpaceDE w:val="0"/>
        <w:autoSpaceDN w:val="0"/>
        <w:adjustRightInd w:val="0"/>
        <w:spacing w:after="0" w:line="240" w:lineRule="auto"/>
        <w:contextualSpacing/>
        <w:jc w:val="both"/>
        <w:rPr>
          <w:rFonts w:cstheme="minorHAnsi"/>
          <w:kern w:val="0"/>
        </w:rPr>
      </w:pPr>
      <w:r w:rsidRPr="00C13D02">
        <w:rPr>
          <w:rFonts w:cstheme="minorHAnsi"/>
          <w:b/>
          <w:kern w:val="0"/>
          <w:u w:val="single"/>
        </w:rPr>
        <w:t>Sprememba opisa ukrepa</w:t>
      </w:r>
      <w:r w:rsidRPr="00C13D02">
        <w:rPr>
          <w:rFonts w:cstheme="minorHAnsi"/>
          <w:b/>
          <w:kern w:val="0"/>
        </w:rPr>
        <w:t xml:space="preserve"> »</w:t>
      </w:r>
      <w:r w:rsidRPr="00C13D02">
        <w:rPr>
          <w:rFonts w:cstheme="minorHAnsi"/>
          <w:kern w:val="0"/>
        </w:rPr>
        <w:t>Celovita energetska sanacija stavb zasebnega storitvenega sektorja - Finančni instrument (FI)«</w:t>
      </w:r>
    </w:p>
    <w:p w14:paraId="7FA4FA01" w14:textId="77777777" w:rsidR="002E1975" w:rsidRPr="00C13D02" w:rsidRDefault="002E1975" w:rsidP="002E1975">
      <w:pPr>
        <w:autoSpaceDE w:val="0"/>
        <w:autoSpaceDN w:val="0"/>
        <w:adjustRightInd w:val="0"/>
        <w:spacing w:after="0" w:line="240" w:lineRule="auto"/>
        <w:jc w:val="both"/>
        <w:rPr>
          <w:rFonts w:cstheme="minorHAnsi"/>
          <w:kern w:val="0"/>
        </w:rPr>
      </w:pPr>
    </w:p>
    <w:p w14:paraId="7717F172" w14:textId="31B4D3BC" w:rsidR="002E1975" w:rsidRPr="00C13D02" w:rsidRDefault="002E1975" w:rsidP="002E1975">
      <w:pPr>
        <w:autoSpaceDE w:val="0"/>
        <w:autoSpaceDN w:val="0"/>
        <w:adjustRightInd w:val="0"/>
        <w:spacing w:after="0" w:line="240" w:lineRule="auto"/>
        <w:jc w:val="both"/>
        <w:rPr>
          <w:rFonts w:cstheme="minorHAnsi"/>
          <w:kern w:val="0"/>
        </w:rPr>
      </w:pPr>
      <w:r w:rsidRPr="00C13D02">
        <w:rPr>
          <w:rFonts w:cstheme="minorHAnsi"/>
          <w:kern w:val="0"/>
          <w:u w:val="single"/>
        </w:rPr>
        <w:t>Obrazložitev:</w:t>
      </w:r>
      <w:r w:rsidRPr="00C13D02">
        <w:rPr>
          <w:rFonts w:cstheme="minorHAnsi"/>
          <w:kern w:val="0"/>
        </w:rPr>
        <w:t xml:space="preserve"> S strani MOPE, MKRR, MGTŠ, </w:t>
      </w:r>
      <w:proofErr w:type="spellStart"/>
      <w:r w:rsidRPr="00C13D02">
        <w:rPr>
          <w:rFonts w:cstheme="minorHAnsi"/>
          <w:kern w:val="0"/>
        </w:rPr>
        <w:t>Sid</w:t>
      </w:r>
      <w:proofErr w:type="spellEnd"/>
      <w:r w:rsidRPr="00C13D02">
        <w:rPr>
          <w:rFonts w:cstheme="minorHAnsi"/>
          <w:kern w:val="0"/>
        </w:rPr>
        <w:t xml:space="preserve"> banka in </w:t>
      </w:r>
      <w:proofErr w:type="spellStart"/>
      <w:r w:rsidRPr="00C13D02">
        <w:rPr>
          <w:rFonts w:cstheme="minorHAnsi"/>
          <w:kern w:val="0"/>
        </w:rPr>
        <w:t>Eko</w:t>
      </w:r>
      <w:proofErr w:type="spellEnd"/>
      <w:r w:rsidRPr="00C13D02">
        <w:rPr>
          <w:rFonts w:cstheme="minorHAnsi"/>
          <w:kern w:val="0"/>
        </w:rPr>
        <w:t xml:space="preserve"> sklad je bilo ugotovljeno, da trenutno načrtovani finančni instrument iz PEKP 2021–2027 s trenutno vsebino ukrepa (celovita energetska prenova) ne bo učinkovit in dovolj zanimiv za trenutno določene končne prejemnike (zasebni storitveni sektor). </w:t>
      </w:r>
    </w:p>
    <w:p w14:paraId="6C9690A2" w14:textId="77777777" w:rsidR="002E1975" w:rsidRPr="00C13D02" w:rsidRDefault="002E1975" w:rsidP="002E1975">
      <w:pPr>
        <w:autoSpaceDE w:val="0"/>
        <w:autoSpaceDN w:val="0"/>
        <w:adjustRightInd w:val="0"/>
        <w:spacing w:after="0" w:line="240" w:lineRule="auto"/>
        <w:jc w:val="both"/>
        <w:rPr>
          <w:rFonts w:cstheme="minorHAnsi"/>
          <w:kern w:val="0"/>
        </w:rPr>
      </w:pPr>
    </w:p>
    <w:p w14:paraId="6737782E" w14:textId="77777777" w:rsidR="002E1975" w:rsidRDefault="002E1975" w:rsidP="002E1975">
      <w:pPr>
        <w:autoSpaceDE w:val="0"/>
        <w:autoSpaceDN w:val="0"/>
        <w:adjustRightInd w:val="0"/>
        <w:spacing w:after="0" w:line="240" w:lineRule="auto"/>
        <w:jc w:val="both"/>
        <w:rPr>
          <w:rFonts w:cstheme="minorHAnsi"/>
          <w:kern w:val="0"/>
        </w:rPr>
      </w:pPr>
      <w:r w:rsidRPr="00C13D02">
        <w:rPr>
          <w:rFonts w:cstheme="minorHAnsi"/>
          <w:kern w:val="0"/>
        </w:rPr>
        <w:t>Na podlagi analize se predlagajo spremembe, in sicer:</w:t>
      </w:r>
    </w:p>
    <w:p w14:paraId="519B3CE3" w14:textId="77777777" w:rsidR="0043755E" w:rsidRPr="00C13D02" w:rsidRDefault="0043755E" w:rsidP="002E1975">
      <w:pPr>
        <w:autoSpaceDE w:val="0"/>
        <w:autoSpaceDN w:val="0"/>
        <w:adjustRightInd w:val="0"/>
        <w:spacing w:after="0" w:line="240" w:lineRule="auto"/>
        <w:jc w:val="both"/>
        <w:rPr>
          <w:rFonts w:cstheme="minorHAnsi"/>
          <w:kern w:val="0"/>
        </w:rPr>
      </w:pPr>
    </w:p>
    <w:p w14:paraId="560A7B1D" w14:textId="095B26AC" w:rsidR="002E1975" w:rsidRDefault="002E1975" w:rsidP="00446D40">
      <w:pPr>
        <w:numPr>
          <w:ilvl w:val="0"/>
          <w:numId w:val="6"/>
        </w:numPr>
        <w:autoSpaceDE w:val="0"/>
        <w:autoSpaceDN w:val="0"/>
        <w:adjustRightInd w:val="0"/>
        <w:spacing w:after="0" w:line="240" w:lineRule="auto"/>
        <w:contextualSpacing/>
        <w:jc w:val="both"/>
        <w:rPr>
          <w:rFonts w:cstheme="minorHAnsi"/>
          <w:kern w:val="0"/>
        </w:rPr>
      </w:pPr>
      <w:r w:rsidRPr="00C13D02">
        <w:rPr>
          <w:rFonts w:cstheme="minorHAnsi"/>
          <w:kern w:val="0"/>
        </w:rPr>
        <w:t xml:space="preserve">Širitev ukrepa: </w:t>
      </w:r>
      <w:proofErr w:type="spellStart"/>
      <w:r w:rsidRPr="00C13D02">
        <w:rPr>
          <w:rFonts w:cstheme="minorHAnsi"/>
          <w:kern w:val="0"/>
        </w:rPr>
        <w:t>Podukrep</w:t>
      </w:r>
      <w:proofErr w:type="spellEnd"/>
      <w:r w:rsidRPr="00C13D02">
        <w:rPr>
          <w:rFonts w:cstheme="minorHAnsi"/>
          <w:kern w:val="0"/>
        </w:rPr>
        <w:t xml:space="preserve"> »Celovita energetska prenova stavb zasebnega storitvenega sektorja« se spremeni v </w:t>
      </w:r>
      <w:proofErr w:type="spellStart"/>
      <w:r w:rsidRPr="00C13D02">
        <w:rPr>
          <w:rFonts w:cstheme="minorHAnsi"/>
          <w:kern w:val="0"/>
        </w:rPr>
        <w:t>podukrep</w:t>
      </w:r>
      <w:proofErr w:type="spellEnd"/>
      <w:r w:rsidRPr="00C13D02">
        <w:rPr>
          <w:rFonts w:cstheme="minorHAnsi"/>
          <w:kern w:val="0"/>
        </w:rPr>
        <w:t xml:space="preserve"> »Postopna celovita prenova stavb«, kar bi omogočilo izvajanje posameznih ukrepov, ki bi v končni fazi vodil do celovite prenove stavb, hkrati pa se dodatno omogoči financiranje ukrepov OVE, ki so nujno potrebni za zagotovitev ciljev URE. Postopna celovita prenova stavb pomeni, da lahko prijavitelj (potencialni končni prejemnik) prijavi tudi ukrepe delne energetske prenove, pri čemer pa se hkrati z izjavo zaveže, da bo v določenem časovnem obdobju iz lastnih ali drugih virov izvedel tudi druge ukrepe, s katerimi bo zadostil merilom celovite energetske prenove.</w:t>
      </w:r>
    </w:p>
    <w:p w14:paraId="6B21F1C8" w14:textId="77777777" w:rsidR="002E1975" w:rsidRDefault="002E1975" w:rsidP="00446D40">
      <w:pPr>
        <w:numPr>
          <w:ilvl w:val="0"/>
          <w:numId w:val="6"/>
        </w:numPr>
        <w:autoSpaceDE w:val="0"/>
        <w:autoSpaceDN w:val="0"/>
        <w:adjustRightInd w:val="0"/>
        <w:spacing w:after="0" w:line="240" w:lineRule="auto"/>
        <w:contextualSpacing/>
        <w:jc w:val="both"/>
        <w:rPr>
          <w:rFonts w:cstheme="minorHAnsi"/>
          <w:kern w:val="0"/>
        </w:rPr>
      </w:pPr>
      <w:r w:rsidRPr="00C13D02">
        <w:rPr>
          <w:rFonts w:cstheme="minorHAnsi"/>
          <w:kern w:val="0"/>
        </w:rPr>
        <w:t>Širitev ciljne skupine iz storitvenega sektorja v poslovne subjekte (celotno gospodarstvo).</w:t>
      </w:r>
    </w:p>
    <w:p w14:paraId="1045753A" w14:textId="471C8598" w:rsidR="002E1975" w:rsidRPr="00C13D02" w:rsidRDefault="002E1975" w:rsidP="00446D40">
      <w:pPr>
        <w:numPr>
          <w:ilvl w:val="0"/>
          <w:numId w:val="6"/>
        </w:numPr>
        <w:autoSpaceDE w:val="0"/>
        <w:autoSpaceDN w:val="0"/>
        <w:adjustRightInd w:val="0"/>
        <w:spacing w:after="0" w:line="240" w:lineRule="auto"/>
        <w:contextualSpacing/>
        <w:jc w:val="both"/>
        <w:rPr>
          <w:rFonts w:cstheme="minorHAnsi"/>
          <w:kern w:val="0"/>
        </w:rPr>
      </w:pPr>
      <w:r w:rsidRPr="00C13D02">
        <w:rPr>
          <w:rFonts w:cstheme="minorHAnsi"/>
          <w:kern w:val="0"/>
        </w:rPr>
        <w:t>Spreminjanje vrednosti kazalnikov: Vrednosti kazalnikov v PEKP 2021–2027 (RCR26, RCR29 in 2) so bile določene na podlagi metodologije, ki je upoštevala 30</w:t>
      </w:r>
      <w:r w:rsidR="001D2F63">
        <w:rPr>
          <w:rFonts w:cstheme="minorHAnsi"/>
          <w:kern w:val="0"/>
        </w:rPr>
        <w:t xml:space="preserve"> </w:t>
      </w:r>
      <w:r w:rsidRPr="00C13D02">
        <w:rPr>
          <w:rFonts w:cstheme="minorHAnsi"/>
          <w:kern w:val="0"/>
        </w:rPr>
        <w:t>% sofinanciranje upravičenih stroškov zaradi shem državnih pomoči in ni upoštevala, da gre pri financiranju za povratna sredstva. V izračunu bi morala biti upoštevana celotna vrednost izkazanih upravičenih stroškov na m</w:t>
      </w:r>
      <w:r w:rsidRPr="00C13D02">
        <w:rPr>
          <w:rFonts w:cstheme="minorHAnsi"/>
          <w:kern w:val="0"/>
          <w:vertAlign w:val="superscript"/>
        </w:rPr>
        <w:t>2</w:t>
      </w:r>
      <w:r w:rsidRPr="00C13D02">
        <w:rPr>
          <w:rFonts w:cstheme="minorHAnsi"/>
          <w:kern w:val="0"/>
        </w:rPr>
        <w:t xml:space="preserve"> (528 EUR) in s tem se kvadratura zniža. Ker iz načrtovane podprte kvadrature izhaja izračun tudi ostalih dveh kazalnikov (prihranek energije in prihranek izpustov CO</w:t>
      </w:r>
      <w:r w:rsidRPr="00C13D02">
        <w:rPr>
          <w:rFonts w:cstheme="minorHAnsi"/>
          <w:kern w:val="0"/>
          <w:vertAlign w:val="subscript"/>
        </w:rPr>
        <w:t>2</w:t>
      </w:r>
      <w:r w:rsidRPr="00C13D02">
        <w:rPr>
          <w:rFonts w:cstheme="minorHAnsi"/>
          <w:kern w:val="0"/>
        </w:rPr>
        <w:t xml:space="preserve">), sta posledično tudi ta dva previsoka in nerealna. </w:t>
      </w:r>
    </w:p>
    <w:p w14:paraId="53AEF761" w14:textId="77777777" w:rsidR="002E1975" w:rsidRPr="00C13D02" w:rsidRDefault="002E1975" w:rsidP="002E1975">
      <w:pPr>
        <w:autoSpaceDE w:val="0"/>
        <w:autoSpaceDN w:val="0"/>
        <w:adjustRightInd w:val="0"/>
        <w:spacing w:after="0" w:line="240" w:lineRule="auto"/>
        <w:jc w:val="both"/>
        <w:rPr>
          <w:rFonts w:cstheme="minorHAnsi"/>
          <w:kern w:val="0"/>
        </w:rPr>
      </w:pPr>
    </w:p>
    <w:p w14:paraId="7A551EC0" w14:textId="77777777" w:rsidR="002E1975" w:rsidRPr="00C13D02" w:rsidRDefault="002E1975" w:rsidP="002E1975">
      <w:pPr>
        <w:autoSpaceDE w:val="0"/>
        <w:autoSpaceDN w:val="0"/>
        <w:adjustRightInd w:val="0"/>
        <w:spacing w:after="0" w:line="240" w:lineRule="auto"/>
        <w:jc w:val="both"/>
        <w:rPr>
          <w:rFonts w:cstheme="minorHAnsi"/>
          <w:kern w:val="0"/>
        </w:rPr>
      </w:pPr>
      <w:r w:rsidRPr="00C13D02">
        <w:rPr>
          <w:rFonts w:cstheme="minorHAnsi"/>
          <w:kern w:val="0"/>
        </w:rPr>
        <w:t>Zaradi navedenega se bodo določile nižje vrednosti kazalnikov, ki bodo upoštevale novo metodologijo za povratne vire financiranja.</w:t>
      </w:r>
    </w:p>
    <w:p w14:paraId="2E8995C6" w14:textId="77777777" w:rsidR="002E1975" w:rsidRPr="002E1975" w:rsidRDefault="002E1975" w:rsidP="002E1975">
      <w:pPr>
        <w:autoSpaceDE w:val="0"/>
        <w:autoSpaceDN w:val="0"/>
        <w:adjustRightInd w:val="0"/>
        <w:spacing w:after="0" w:line="240" w:lineRule="auto"/>
        <w:jc w:val="both"/>
        <w:rPr>
          <w:rFonts w:cstheme="minorHAnsi"/>
          <w:kern w:val="0"/>
        </w:rPr>
      </w:pPr>
    </w:p>
    <w:p w14:paraId="6F43A7AA" w14:textId="0491AACD" w:rsidR="002E1975" w:rsidRPr="00A8683D" w:rsidRDefault="002E1975" w:rsidP="00446D40">
      <w:pPr>
        <w:pStyle w:val="Naslov3"/>
        <w:numPr>
          <w:ilvl w:val="2"/>
          <w:numId w:val="2"/>
        </w:numPr>
        <w:spacing w:before="0"/>
        <w:rPr>
          <w:color w:val="4472C4" w:themeColor="accent1"/>
        </w:rPr>
      </w:pPr>
      <w:bookmarkStart w:id="126" w:name="_Toc187154469"/>
      <w:bookmarkStart w:id="127" w:name="_Toc191383865"/>
      <w:r w:rsidRPr="00A8683D">
        <w:rPr>
          <w:color w:val="4472C4" w:themeColor="accent1"/>
        </w:rPr>
        <w:t>RSO 2.2 Spodbujanje energije iz obnovljivih virov v skladu z Direktivo (EU) 2018/2001 o spodbujanju uporabe energije iz obnovljivih virov, vključno s trajnostnimi merili, določenimi v Direktivi</w:t>
      </w:r>
      <w:bookmarkEnd w:id="126"/>
      <w:bookmarkEnd w:id="127"/>
    </w:p>
    <w:p w14:paraId="118423B1" w14:textId="77777777" w:rsidR="002E1975" w:rsidRPr="002E1975" w:rsidRDefault="002E1975" w:rsidP="002E1975">
      <w:pPr>
        <w:autoSpaceDE w:val="0"/>
        <w:autoSpaceDN w:val="0"/>
        <w:adjustRightInd w:val="0"/>
        <w:spacing w:after="0" w:line="240" w:lineRule="auto"/>
        <w:jc w:val="both"/>
        <w:rPr>
          <w:rFonts w:cstheme="minorHAnsi"/>
          <w:b/>
          <w:kern w:val="0"/>
        </w:rPr>
      </w:pPr>
    </w:p>
    <w:p w14:paraId="1559E564" w14:textId="77777777" w:rsidR="002E1975" w:rsidRPr="00C13D02" w:rsidRDefault="002E1975" w:rsidP="00446D40">
      <w:pPr>
        <w:numPr>
          <w:ilvl w:val="0"/>
          <w:numId w:val="13"/>
        </w:numPr>
        <w:autoSpaceDE w:val="0"/>
        <w:autoSpaceDN w:val="0"/>
        <w:adjustRightInd w:val="0"/>
        <w:spacing w:after="0" w:line="240" w:lineRule="auto"/>
        <w:contextualSpacing/>
        <w:jc w:val="both"/>
        <w:rPr>
          <w:rFonts w:cstheme="minorHAnsi"/>
          <w:b/>
          <w:bCs/>
          <w:kern w:val="0"/>
        </w:rPr>
      </w:pPr>
      <w:r w:rsidRPr="00C13D02">
        <w:rPr>
          <w:rFonts w:cstheme="minorHAnsi"/>
          <w:b/>
          <w:bCs/>
          <w:kern w:val="0"/>
          <w:u w:val="single"/>
        </w:rPr>
        <w:lastRenderedPageBreak/>
        <w:t>Sprememba opisa ukrepa</w:t>
      </w:r>
      <w:r w:rsidRPr="00C13D02">
        <w:rPr>
          <w:rFonts w:cstheme="minorHAnsi"/>
          <w:b/>
          <w:bCs/>
          <w:kern w:val="0"/>
        </w:rPr>
        <w:t xml:space="preserve"> »Spodbujanje novih daljinskih sistemov na OVE (ogrevanje in hlajenje)«</w:t>
      </w:r>
    </w:p>
    <w:p w14:paraId="34C1E7A0" w14:textId="77777777" w:rsidR="002E1975" w:rsidRPr="00C13D02" w:rsidRDefault="002E1975" w:rsidP="002E1975">
      <w:pPr>
        <w:autoSpaceDE w:val="0"/>
        <w:autoSpaceDN w:val="0"/>
        <w:adjustRightInd w:val="0"/>
        <w:spacing w:after="0" w:line="240" w:lineRule="auto"/>
        <w:jc w:val="both"/>
        <w:rPr>
          <w:rFonts w:cstheme="minorHAnsi"/>
          <w:kern w:val="0"/>
        </w:rPr>
      </w:pPr>
    </w:p>
    <w:p w14:paraId="0DDFA4BE" w14:textId="2E781ABE" w:rsidR="002E1975" w:rsidRDefault="002E1975" w:rsidP="002E1975">
      <w:pPr>
        <w:autoSpaceDE w:val="0"/>
        <w:autoSpaceDN w:val="0"/>
        <w:adjustRightInd w:val="0"/>
        <w:spacing w:after="0" w:line="240" w:lineRule="auto"/>
        <w:jc w:val="both"/>
        <w:rPr>
          <w:rFonts w:cstheme="minorHAnsi"/>
          <w:kern w:val="0"/>
        </w:rPr>
      </w:pPr>
      <w:r w:rsidRPr="00C13D02">
        <w:rPr>
          <w:rFonts w:cstheme="minorHAnsi"/>
          <w:kern w:val="0"/>
          <w:u w:val="single"/>
        </w:rPr>
        <w:t>Obrazložitev:</w:t>
      </w:r>
      <w:r w:rsidRPr="00C13D02">
        <w:rPr>
          <w:rFonts w:cstheme="minorHAnsi"/>
          <w:kern w:val="0"/>
        </w:rPr>
        <w:t xml:space="preserve"> MOPE predlaga razširitev ukrepa in sicer, da bi se podpiralo tako nove daljinske sistemi na OVE (ogrevanje in hlajenje) kot tudi prestrukturiranje daljinskih sistema na OVE. Ukrep bi bil zelo podoben ukrepu iz NOO, ki pa bo časovno razmejen. Višina sredstev in kazalniki se ne spreminjajo.</w:t>
      </w:r>
    </w:p>
    <w:p w14:paraId="6B6A0CBD" w14:textId="77777777" w:rsidR="00C82AF9" w:rsidRPr="00C13D02" w:rsidRDefault="00C82AF9" w:rsidP="002E1975">
      <w:pPr>
        <w:autoSpaceDE w:val="0"/>
        <w:autoSpaceDN w:val="0"/>
        <w:adjustRightInd w:val="0"/>
        <w:spacing w:after="0" w:line="240" w:lineRule="auto"/>
        <w:jc w:val="both"/>
        <w:rPr>
          <w:rFonts w:cstheme="minorHAnsi"/>
          <w:kern w:val="0"/>
        </w:rPr>
      </w:pPr>
    </w:p>
    <w:p w14:paraId="57BFC8AA" w14:textId="77777777" w:rsidR="002E1975" w:rsidRPr="00C13D02" w:rsidRDefault="002E1975" w:rsidP="00446D40">
      <w:pPr>
        <w:numPr>
          <w:ilvl w:val="0"/>
          <w:numId w:val="6"/>
        </w:numPr>
        <w:autoSpaceDE w:val="0"/>
        <w:autoSpaceDN w:val="0"/>
        <w:adjustRightInd w:val="0"/>
        <w:spacing w:after="0" w:line="240" w:lineRule="auto"/>
        <w:contextualSpacing/>
        <w:jc w:val="both"/>
        <w:rPr>
          <w:rFonts w:cstheme="minorHAnsi"/>
          <w:kern w:val="0"/>
        </w:rPr>
      </w:pPr>
      <w:r w:rsidRPr="00C13D02">
        <w:rPr>
          <w:rFonts w:cstheme="minorHAnsi"/>
          <w:kern w:val="0"/>
        </w:rPr>
        <w:t>RCO22 Dodatna proizvodna zmogljivost za energijo iz obnovljivih virov (od tega: električna energija, toplotna energija) MW</w:t>
      </w:r>
    </w:p>
    <w:p w14:paraId="73821213" w14:textId="77777777" w:rsidR="002E1975" w:rsidRPr="00C13D02" w:rsidRDefault="002E1975" w:rsidP="00446D40">
      <w:pPr>
        <w:numPr>
          <w:ilvl w:val="0"/>
          <w:numId w:val="6"/>
        </w:numPr>
        <w:autoSpaceDE w:val="0"/>
        <w:autoSpaceDN w:val="0"/>
        <w:adjustRightInd w:val="0"/>
        <w:spacing w:after="0" w:line="240" w:lineRule="auto"/>
        <w:contextualSpacing/>
        <w:jc w:val="both"/>
        <w:rPr>
          <w:rFonts w:cstheme="minorHAnsi"/>
          <w:kern w:val="0"/>
        </w:rPr>
      </w:pPr>
      <w:r w:rsidRPr="00C13D02">
        <w:rPr>
          <w:rFonts w:cstheme="minorHAnsi"/>
          <w:kern w:val="0"/>
        </w:rPr>
        <w:t>RCR31 Skupna proizvodnja energije iz obnovljivih virov (od tega: električna energija, toplotna energija) MWh/le</w:t>
      </w:r>
    </w:p>
    <w:p w14:paraId="5FFC4774" w14:textId="77777777" w:rsidR="002E1975" w:rsidRPr="002E1975" w:rsidRDefault="002E1975" w:rsidP="002E1975">
      <w:pPr>
        <w:autoSpaceDE w:val="0"/>
        <w:autoSpaceDN w:val="0"/>
        <w:adjustRightInd w:val="0"/>
        <w:spacing w:after="0" w:line="240" w:lineRule="auto"/>
        <w:jc w:val="both"/>
        <w:rPr>
          <w:rFonts w:cstheme="minorHAnsi"/>
          <w:kern w:val="0"/>
        </w:rPr>
      </w:pPr>
    </w:p>
    <w:p w14:paraId="6C4E2459" w14:textId="2A08D9DC" w:rsidR="002E1975" w:rsidRPr="00C82AF9" w:rsidRDefault="002E1975" w:rsidP="00446D40">
      <w:pPr>
        <w:pStyle w:val="Naslov3"/>
        <w:numPr>
          <w:ilvl w:val="2"/>
          <w:numId w:val="2"/>
        </w:numPr>
        <w:rPr>
          <w:color w:val="4472C4" w:themeColor="accent1"/>
        </w:rPr>
      </w:pPr>
      <w:bookmarkStart w:id="128" w:name="_Toc187154470"/>
      <w:bookmarkStart w:id="129" w:name="_Toc191383866"/>
      <w:r w:rsidRPr="00C82AF9">
        <w:rPr>
          <w:color w:val="4472C4" w:themeColor="accent1"/>
        </w:rPr>
        <w:t>RSO 2.3 Razvoj pametnih energetskih sistemov, omrežij in hrambe zunaj vseevropskega energetskega omrežja (TEN-E)</w:t>
      </w:r>
      <w:bookmarkEnd w:id="128"/>
      <w:bookmarkEnd w:id="129"/>
    </w:p>
    <w:p w14:paraId="0CD56A2A" w14:textId="77777777" w:rsidR="002E1975" w:rsidRPr="002E1975" w:rsidRDefault="002E1975" w:rsidP="002E1975">
      <w:pPr>
        <w:autoSpaceDE w:val="0"/>
        <w:autoSpaceDN w:val="0"/>
        <w:adjustRightInd w:val="0"/>
        <w:spacing w:after="0" w:line="240" w:lineRule="auto"/>
        <w:jc w:val="both"/>
        <w:rPr>
          <w:rFonts w:cstheme="minorHAnsi"/>
          <w:kern w:val="0"/>
        </w:rPr>
      </w:pPr>
    </w:p>
    <w:p w14:paraId="72567C3C" w14:textId="77777777" w:rsidR="002E1975" w:rsidRPr="00C13D02" w:rsidRDefault="002E1975" w:rsidP="00446D40">
      <w:pPr>
        <w:numPr>
          <w:ilvl w:val="0"/>
          <w:numId w:val="14"/>
        </w:numPr>
        <w:autoSpaceDE w:val="0"/>
        <w:autoSpaceDN w:val="0"/>
        <w:adjustRightInd w:val="0"/>
        <w:spacing w:after="0" w:line="240" w:lineRule="auto"/>
        <w:contextualSpacing/>
        <w:jc w:val="both"/>
        <w:rPr>
          <w:rFonts w:cstheme="minorHAnsi"/>
          <w:kern w:val="0"/>
        </w:rPr>
      </w:pPr>
      <w:r w:rsidRPr="00C13D02">
        <w:rPr>
          <w:rFonts w:cstheme="minorHAnsi"/>
          <w:b/>
          <w:bCs/>
          <w:kern w:val="0"/>
          <w:u w:val="single"/>
        </w:rPr>
        <w:t>Predlaga se vključitev novega ukrepa</w:t>
      </w:r>
      <w:r w:rsidRPr="00C13D02">
        <w:rPr>
          <w:rFonts w:cstheme="minorHAnsi"/>
          <w:b/>
          <w:bCs/>
          <w:kern w:val="0"/>
        </w:rPr>
        <w:t>:</w:t>
      </w:r>
      <w:r w:rsidRPr="00C13D02">
        <w:rPr>
          <w:rFonts w:cstheme="minorHAnsi"/>
          <w:kern w:val="0"/>
        </w:rPr>
        <w:t xml:space="preserve"> Spodbujanje naložb v pametna omrežja, zlasti v distribucijsko omrežje EE (13 mio EUR). </w:t>
      </w:r>
    </w:p>
    <w:p w14:paraId="7AE905BA" w14:textId="77777777" w:rsidR="002E1975" w:rsidRPr="00C13D02" w:rsidRDefault="002E1975" w:rsidP="002E1975">
      <w:pPr>
        <w:autoSpaceDE w:val="0"/>
        <w:autoSpaceDN w:val="0"/>
        <w:adjustRightInd w:val="0"/>
        <w:spacing w:after="0" w:line="240" w:lineRule="auto"/>
        <w:jc w:val="both"/>
        <w:rPr>
          <w:rFonts w:cstheme="minorHAnsi"/>
          <w:kern w:val="0"/>
        </w:rPr>
      </w:pPr>
    </w:p>
    <w:p w14:paraId="588D9B31" w14:textId="77777777" w:rsidR="002E1975" w:rsidRPr="00C13D02" w:rsidRDefault="002E1975" w:rsidP="002E1975">
      <w:pPr>
        <w:autoSpaceDE w:val="0"/>
        <w:autoSpaceDN w:val="0"/>
        <w:adjustRightInd w:val="0"/>
        <w:spacing w:after="0" w:line="240" w:lineRule="auto"/>
        <w:jc w:val="both"/>
        <w:rPr>
          <w:rFonts w:cstheme="minorHAnsi"/>
          <w:kern w:val="0"/>
        </w:rPr>
      </w:pPr>
      <w:r w:rsidRPr="00C13D02">
        <w:rPr>
          <w:rFonts w:cstheme="minorHAnsi"/>
          <w:kern w:val="0"/>
        </w:rPr>
        <w:t xml:space="preserve">Namen spodbujanja tovrstnih naložb je, distribucijsko omrežje narediti zmogljivejše, odpornejše in robustnejše za priklop razpršenih virov OVE ter za pospeševanje </w:t>
      </w:r>
      <w:proofErr w:type="spellStart"/>
      <w:r w:rsidRPr="00C13D02">
        <w:rPr>
          <w:rFonts w:cstheme="minorHAnsi"/>
          <w:kern w:val="0"/>
        </w:rPr>
        <w:t>brezemisijske</w:t>
      </w:r>
      <w:proofErr w:type="spellEnd"/>
      <w:r w:rsidRPr="00C13D02">
        <w:rPr>
          <w:rFonts w:cstheme="minorHAnsi"/>
          <w:kern w:val="0"/>
        </w:rPr>
        <w:t xml:space="preserve"> mobilnosti. V tem okviru menimo, da bo moral biti ukrep usmerjen ne le v nadgradnjo infrastrukture, ampak oziroma predvsem v pametno upravljanje ponudbe in povpraševanja po električni energiji, ki bo s prehodom na OVE potrebovalo bistveno večje kapacitete za prenos EE ter bo moralo s pametnim upravljanjem (upoštevajoč tudi hranjenje energije) postati bistveno prožnejše.</w:t>
      </w:r>
    </w:p>
    <w:p w14:paraId="4B8792EC" w14:textId="77777777" w:rsidR="002E1975" w:rsidRPr="00C13D02" w:rsidRDefault="002E1975" w:rsidP="002E1975">
      <w:pPr>
        <w:autoSpaceDE w:val="0"/>
        <w:autoSpaceDN w:val="0"/>
        <w:adjustRightInd w:val="0"/>
        <w:spacing w:after="0" w:line="240" w:lineRule="auto"/>
        <w:jc w:val="both"/>
        <w:rPr>
          <w:rFonts w:cstheme="minorHAnsi"/>
          <w:kern w:val="0"/>
        </w:rPr>
      </w:pPr>
    </w:p>
    <w:p w14:paraId="2B1C45B2" w14:textId="77777777" w:rsidR="002E1975" w:rsidRPr="00C13D02" w:rsidRDefault="002E1975" w:rsidP="002E1975">
      <w:pPr>
        <w:autoSpaceDE w:val="0"/>
        <w:autoSpaceDN w:val="0"/>
        <w:adjustRightInd w:val="0"/>
        <w:spacing w:after="0" w:line="240" w:lineRule="auto"/>
        <w:jc w:val="both"/>
        <w:rPr>
          <w:rFonts w:cstheme="minorHAnsi"/>
          <w:kern w:val="0"/>
        </w:rPr>
      </w:pPr>
      <w:r w:rsidRPr="00C13D02">
        <w:rPr>
          <w:rFonts w:cstheme="minorHAnsi"/>
          <w:kern w:val="0"/>
        </w:rPr>
        <w:t xml:space="preserve">Predvideni potencialni upravičenci na tem ukrepu bi bile družbe, ki imajo v lasti elektroenergetsko omrežje (elektrodistribucijska podjetja) ter operater distribucijskega omrežja (ELES </w:t>
      </w:r>
      <w:proofErr w:type="spellStart"/>
      <w:r w:rsidRPr="00C13D02">
        <w:rPr>
          <w:rFonts w:cstheme="minorHAnsi"/>
          <w:kern w:val="0"/>
        </w:rPr>
        <w:t>d.d</w:t>
      </w:r>
      <w:proofErr w:type="spellEnd"/>
      <w:r w:rsidRPr="00C13D02">
        <w:rPr>
          <w:rFonts w:cstheme="minorHAnsi"/>
          <w:kern w:val="0"/>
        </w:rPr>
        <w:t xml:space="preserve">.). </w:t>
      </w:r>
    </w:p>
    <w:p w14:paraId="76AA8EF5" w14:textId="77777777" w:rsidR="002E1975" w:rsidRPr="00C13D02" w:rsidRDefault="002E1975" w:rsidP="002E1975">
      <w:pPr>
        <w:autoSpaceDE w:val="0"/>
        <w:autoSpaceDN w:val="0"/>
        <w:adjustRightInd w:val="0"/>
        <w:spacing w:after="0" w:line="240" w:lineRule="auto"/>
        <w:jc w:val="both"/>
        <w:rPr>
          <w:rFonts w:cstheme="minorHAnsi"/>
          <w:kern w:val="0"/>
        </w:rPr>
      </w:pPr>
    </w:p>
    <w:p w14:paraId="083B5048" w14:textId="28CFA47A" w:rsidR="002E1975" w:rsidRPr="00C13D02" w:rsidRDefault="002E1975" w:rsidP="002E1975">
      <w:pPr>
        <w:autoSpaceDE w:val="0"/>
        <w:autoSpaceDN w:val="0"/>
        <w:adjustRightInd w:val="0"/>
        <w:spacing w:after="0" w:line="240" w:lineRule="auto"/>
        <w:jc w:val="both"/>
        <w:rPr>
          <w:rFonts w:cstheme="minorHAnsi"/>
          <w:kern w:val="0"/>
        </w:rPr>
      </w:pPr>
      <w:r w:rsidRPr="00C13D02">
        <w:rPr>
          <w:rFonts w:cstheme="minorHAnsi"/>
          <w:kern w:val="0"/>
        </w:rPr>
        <w:t>Sredstva za spodbujanje naložb v pametna omrežja, zlasti v distribucijsko omrežje EE, se zagotoviti znotraj tega specifičnega cilja.</w:t>
      </w:r>
    </w:p>
    <w:p w14:paraId="47C22CDD" w14:textId="6D2E7E1F" w:rsidR="00796B31" w:rsidRPr="002E1975" w:rsidRDefault="00796B31" w:rsidP="002E1975">
      <w:pPr>
        <w:autoSpaceDE w:val="0"/>
        <w:autoSpaceDN w:val="0"/>
        <w:adjustRightInd w:val="0"/>
        <w:spacing w:after="0" w:line="240" w:lineRule="auto"/>
        <w:jc w:val="both"/>
        <w:rPr>
          <w:rFonts w:cstheme="minorHAnsi"/>
          <w:kern w:val="0"/>
        </w:rPr>
      </w:pPr>
    </w:p>
    <w:p w14:paraId="61364201" w14:textId="4108A55E" w:rsidR="002E1975" w:rsidRPr="00042CC5" w:rsidRDefault="002E1975" w:rsidP="00446D40">
      <w:pPr>
        <w:pStyle w:val="Naslov3"/>
        <w:numPr>
          <w:ilvl w:val="2"/>
          <w:numId w:val="2"/>
        </w:numPr>
        <w:rPr>
          <w:color w:val="4472C4" w:themeColor="accent1"/>
        </w:rPr>
      </w:pPr>
      <w:bookmarkStart w:id="130" w:name="_Toc187154471"/>
      <w:bookmarkStart w:id="131" w:name="_Toc191383867"/>
      <w:r w:rsidRPr="00042CC5">
        <w:rPr>
          <w:color w:val="4472C4" w:themeColor="accent1"/>
        </w:rPr>
        <w:t>RSO 2.4 Spodbujanje prilagajanja podnebnim spremembam in preprečevanja tveganja nesreč ter odpornosti, ob upoštevanju ekosistemskih pristopov</w:t>
      </w:r>
      <w:bookmarkEnd w:id="130"/>
      <w:bookmarkEnd w:id="131"/>
    </w:p>
    <w:p w14:paraId="798EFDF2" w14:textId="77777777" w:rsidR="002E1975" w:rsidRPr="002E1975" w:rsidRDefault="002E1975" w:rsidP="002E1975">
      <w:pPr>
        <w:spacing w:after="0"/>
      </w:pPr>
    </w:p>
    <w:p w14:paraId="7DB12818" w14:textId="14189559" w:rsidR="002E1975" w:rsidRPr="00C13D02" w:rsidRDefault="002E1975" w:rsidP="00446D40">
      <w:pPr>
        <w:numPr>
          <w:ilvl w:val="0"/>
          <w:numId w:val="15"/>
        </w:numPr>
        <w:autoSpaceDE w:val="0"/>
        <w:autoSpaceDN w:val="0"/>
        <w:adjustRightInd w:val="0"/>
        <w:spacing w:after="0" w:line="240" w:lineRule="auto"/>
        <w:contextualSpacing/>
        <w:jc w:val="both"/>
        <w:rPr>
          <w:rFonts w:cstheme="minorHAnsi"/>
          <w:kern w:val="0"/>
        </w:rPr>
      </w:pPr>
      <w:r w:rsidRPr="00042CC5">
        <w:rPr>
          <w:rFonts w:cstheme="minorHAnsi"/>
          <w:b/>
          <w:bCs/>
          <w:kern w:val="0"/>
          <w:u w:val="single"/>
        </w:rPr>
        <w:t>Sprememba višina sredstev na ukrepu</w:t>
      </w:r>
      <w:r w:rsidRPr="00C13D02">
        <w:rPr>
          <w:rFonts w:cstheme="minorHAnsi"/>
          <w:kern w:val="0"/>
        </w:rPr>
        <w:t xml:space="preserve"> Nadgradnja sistema za opozarjanje in osveščanje na vremensko pogojene izredne razmere ter prilagajanje nanje v spremenjenem podnebju</w:t>
      </w:r>
      <w:r w:rsidR="00800F02">
        <w:rPr>
          <w:rFonts w:cstheme="minorHAnsi"/>
          <w:kern w:val="0"/>
        </w:rPr>
        <w:t xml:space="preserve"> (KS)</w:t>
      </w:r>
      <w:r w:rsidRPr="00C13D02">
        <w:rPr>
          <w:rFonts w:cstheme="minorHAnsi"/>
          <w:kern w:val="0"/>
        </w:rPr>
        <w:t xml:space="preserve"> – SOVIR</w:t>
      </w:r>
    </w:p>
    <w:p w14:paraId="105C123D" w14:textId="77777777" w:rsidR="002E1975" w:rsidRPr="00C13D02" w:rsidRDefault="002E1975" w:rsidP="002E1975">
      <w:pPr>
        <w:autoSpaceDE w:val="0"/>
        <w:autoSpaceDN w:val="0"/>
        <w:adjustRightInd w:val="0"/>
        <w:spacing w:after="0" w:line="240" w:lineRule="auto"/>
        <w:jc w:val="both"/>
        <w:rPr>
          <w:rFonts w:cstheme="minorHAnsi"/>
          <w:kern w:val="0"/>
        </w:rPr>
      </w:pPr>
    </w:p>
    <w:p w14:paraId="373468D4" w14:textId="20FDF3F8" w:rsidR="002E1975" w:rsidRPr="00C13D02" w:rsidRDefault="002E1975" w:rsidP="00BE0448">
      <w:pPr>
        <w:autoSpaceDE w:val="0"/>
        <w:autoSpaceDN w:val="0"/>
        <w:adjustRightInd w:val="0"/>
        <w:spacing w:after="0" w:line="240" w:lineRule="auto"/>
        <w:jc w:val="both"/>
        <w:rPr>
          <w:rFonts w:cstheme="minorHAnsi"/>
          <w:kern w:val="0"/>
        </w:rPr>
      </w:pPr>
      <w:r w:rsidRPr="001409A8">
        <w:rPr>
          <w:rFonts w:cstheme="minorHAnsi"/>
          <w:kern w:val="0"/>
        </w:rPr>
        <w:t>Projekt SOVIR je v teku, podpisali bodo pogodbo za Kredarico, hkrati izvajajo JN za prenovo računskega centra</w:t>
      </w:r>
      <w:r w:rsidR="001409A8" w:rsidRPr="001409A8">
        <w:rPr>
          <w:rFonts w:cstheme="minorHAnsi"/>
          <w:kern w:val="0"/>
        </w:rPr>
        <w:t>.</w:t>
      </w:r>
      <w:r w:rsidRPr="00C13D02">
        <w:rPr>
          <w:rFonts w:cstheme="minorHAnsi"/>
          <w:kern w:val="0"/>
        </w:rPr>
        <w:t xml:space="preserve"> Gre za sistem osveščanja, opozarjanja, spremljanja vremenskih dogodkov/podnebne spremembe. Pri izvajanju se soočajo z bistveno povečanimi cenami na trgu, problem kandidatov na javnem naročanju in bistvenega preseganja cen iz </w:t>
      </w:r>
      <w:proofErr w:type="spellStart"/>
      <w:r w:rsidRPr="00C13D02">
        <w:rPr>
          <w:rFonts w:cstheme="minorHAnsi"/>
          <w:kern w:val="0"/>
        </w:rPr>
        <w:t>invest</w:t>
      </w:r>
      <w:proofErr w:type="spellEnd"/>
      <w:r w:rsidRPr="00C13D02">
        <w:rPr>
          <w:rFonts w:cstheme="minorHAnsi"/>
          <w:kern w:val="0"/>
        </w:rPr>
        <w:t xml:space="preserve"> programa.</w:t>
      </w:r>
    </w:p>
    <w:p w14:paraId="70A66F78" w14:textId="77777777" w:rsidR="002E1975" w:rsidRPr="00C13D02" w:rsidRDefault="002E1975" w:rsidP="002E1975">
      <w:pPr>
        <w:autoSpaceDE w:val="0"/>
        <w:autoSpaceDN w:val="0"/>
        <w:adjustRightInd w:val="0"/>
        <w:spacing w:after="0" w:line="240" w:lineRule="auto"/>
        <w:jc w:val="both"/>
        <w:rPr>
          <w:rFonts w:cstheme="minorHAnsi"/>
          <w:kern w:val="0"/>
        </w:rPr>
      </w:pPr>
    </w:p>
    <w:p w14:paraId="3C0F425C" w14:textId="77777777" w:rsidR="002E1975" w:rsidRPr="00C13D02" w:rsidRDefault="002E1975" w:rsidP="002E1975">
      <w:pPr>
        <w:autoSpaceDE w:val="0"/>
        <w:autoSpaceDN w:val="0"/>
        <w:adjustRightInd w:val="0"/>
        <w:spacing w:after="0" w:line="240" w:lineRule="auto"/>
        <w:jc w:val="both"/>
        <w:rPr>
          <w:rFonts w:cstheme="minorHAnsi"/>
          <w:kern w:val="0"/>
        </w:rPr>
      </w:pPr>
      <w:r w:rsidRPr="00C13D02">
        <w:rPr>
          <w:rFonts w:cstheme="minorHAnsi"/>
          <w:kern w:val="0"/>
        </w:rPr>
        <w:t xml:space="preserve">Trenutna vrednost projekta je 16 mio EUR od tega 13,5 mio EUR (od tega 11,4 mio EUR EU del in 2 mio EUR SI del) se financira iz EKP. Za izvedbo celotnega projekta SOVIR se potrebuje dodatnih 12,1 mio EUR. </w:t>
      </w:r>
    </w:p>
    <w:p w14:paraId="30718F53" w14:textId="77777777" w:rsidR="002E1975" w:rsidRPr="00C13D02" w:rsidRDefault="002E1975" w:rsidP="002E1975">
      <w:pPr>
        <w:autoSpaceDE w:val="0"/>
        <w:autoSpaceDN w:val="0"/>
        <w:adjustRightInd w:val="0"/>
        <w:spacing w:after="0" w:line="240" w:lineRule="auto"/>
        <w:jc w:val="both"/>
        <w:rPr>
          <w:rFonts w:cstheme="minorHAnsi"/>
          <w:kern w:val="0"/>
        </w:rPr>
      </w:pPr>
    </w:p>
    <w:p w14:paraId="0F943D12" w14:textId="77777777" w:rsidR="002E1975" w:rsidRDefault="002E1975" w:rsidP="002E1975">
      <w:pPr>
        <w:autoSpaceDE w:val="0"/>
        <w:autoSpaceDN w:val="0"/>
        <w:adjustRightInd w:val="0"/>
        <w:spacing w:after="0" w:line="240" w:lineRule="auto"/>
        <w:jc w:val="both"/>
        <w:rPr>
          <w:rFonts w:cstheme="minorHAnsi"/>
          <w:kern w:val="0"/>
        </w:rPr>
      </w:pPr>
      <w:r w:rsidRPr="00C13D02">
        <w:rPr>
          <w:rFonts w:cstheme="minorHAnsi"/>
          <w:kern w:val="0"/>
        </w:rPr>
        <w:t xml:space="preserve">Dodatna sredstva se zagotovi iz RSO 3.2 Razvoj in krepitev trajnostne, pametne in </w:t>
      </w:r>
      <w:proofErr w:type="spellStart"/>
      <w:r w:rsidRPr="00C13D02">
        <w:rPr>
          <w:rFonts w:cstheme="minorHAnsi"/>
          <w:kern w:val="0"/>
        </w:rPr>
        <w:t>intermodalne</w:t>
      </w:r>
      <w:proofErr w:type="spellEnd"/>
      <w:r w:rsidRPr="00C13D02">
        <w:rPr>
          <w:rFonts w:cstheme="minorHAnsi"/>
          <w:kern w:val="0"/>
        </w:rPr>
        <w:t xml:space="preserve"> nacionalne, regionalne in lokalne mobilnosti, odporne proti podnebnim spremembam, vključno z boljšim dostopom do omrežja TEN-T in čezmejno mobilnostjo iz ukrepa Spodbujanje trajnostne mobilnosti na horizontalni ravni v višini 11,4 mio EUR (od tega 9,7 mio EUR EU del in 1,7 mio EUR SI del), 0,7 mio EUR bi ARSO zagotavljal iz drugih virov. </w:t>
      </w:r>
    </w:p>
    <w:p w14:paraId="1F1BBE69" w14:textId="77777777" w:rsidR="006059E7" w:rsidRDefault="006059E7" w:rsidP="002E1975">
      <w:pPr>
        <w:autoSpaceDE w:val="0"/>
        <w:autoSpaceDN w:val="0"/>
        <w:adjustRightInd w:val="0"/>
        <w:spacing w:after="0" w:line="240" w:lineRule="auto"/>
        <w:jc w:val="both"/>
        <w:rPr>
          <w:rFonts w:cstheme="minorHAnsi"/>
          <w:kern w:val="0"/>
        </w:rPr>
      </w:pPr>
    </w:p>
    <w:p w14:paraId="59D585D8" w14:textId="77777777" w:rsidR="006059E7" w:rsidRDefault="006059E7" w:rsidP="002E1975">
      <w:pPr>
        <w:autoSpaceDE w:val="0"/>
        <w:autoSpaceDN w:val="0"/>
        <w:adjustRightInd w:val="0"/>
        <w:spacing w:after="0" w:line="240" w:lineRule="auto"/>
        <w:jc w:val="both"/>
        <w:rPr>
          <w:rFonts w:cstheme="minorHAnsi"/>
          <w:kern w:val="0"/>
        </w:rPr>
      </w:pPr>
    </w:p>
    <w:p w14:paraId="1733B2CE" w14:textId="77777777" w:rsidR="006059E7" w:rsidRDefault="006059E7" w:rsidP="002E1975">
      <w:pPr>
        <w:autoSpaceDE w:val="0"/>
        <w:autoSpaceDN w:val="0"/>
        <w:adjustRightInd w:val="0"/>
        <w:spacing w:after="0" w:line="240" w:lineRule="auto"/>
        <w:jc w:val="both"/>
        <w:rPr>
          <w:rFonts w:cstheme="minorHAnsi"/>
          <w:kern w:val="0"/>
        </w:rPr>
      </w:pPr>
    </w:p>
    <w:p w14:paraId="0A33809F" w14:textId="41138758" w:rsidR="00B4316A" w:rsidRDefault="00B4316A" w:rsidP="002E1975">
      <w:pPr>
        <w:autoSpaceDE w:val="0"/>
        <w:autoSpaceDN w:val="0"/>
        <w:adjustRightInd w:val="0"/>
        <w:spacing w:after="0" w:line="240" w:lineRule="auto"/>
        <w:jc w:val="both"/>
        <w:rPr>
          <w:rFonts w:cstheme="minorHAnsi"/>
          <w:kern w:val="0"/>
        </w:rPr>
      </w:pPr>
    </w:p>
    <w:p w14:paraId="13B4B144" w14:textId="67634A6B" w:rsidR="007D6A65" w:rsidRPr="00F67098" w:rsidRDefault="007D6A65" w:rsidP="007D6A65">
      <w:pPr>
        <w:pStyle w:val="Napis"/>
        <w:keepNext/>
        <w:spacing w:after="0"/>
        <w:rPr>
          <w:i w:val="0"/>
          <w:iCs w:val="0"/>
          <w:color w:val="auto"/>
          <w:sz w:val="20"/>
          <w:szCs w:val="20"/>
        </w:rPr>
      </w:pPr>
      <w:bookmarkStart w:id="132" w:name="_Toc191459962"/>
      <w:r w:rsidRPr="00F67098">
        <w:rPr>
          <w:i w:val="0"/>
          <w:iCs w:val="0"/>
          <w:color w:val="auto"/>
          <w:sz w:val="20"/>
          <w:szCs w:val="20"/>
        </w:rPr>
        <w:lastRenderedPageBreak/>
        <w:t xml:space="preserve">Tabela </w:t>
      </w:r>
      <w:r w:rsidRPr="00F67098">
        <w:rPr>
          <w:i w:val="0"/>
          <w:iCs w:val="0"/>
          <w:color w:val="auto"/>
          <w:sz w:val="20"/>
          <w:szCs w:val="20"/>
        </w:rPr>
        <w:fldChar w:fldCharType="begin"/>
      </w:r>
      <w:r w:rsidRPr="00F67098">
        <w:rPr>
          <w:i w:val="0"/>
          <w:iCs w:val="0"/>
          <w:color w:val="auto"/>
          <w:sz w:val="20"/>
          <w:szCs w:val="20"/>
        </w:rPr>
        <w:instrText xml:space="preserve"> SEQ Tabela \* ARABIC </w:instrText>
      </w:r>
      <w:r w:rsidRPr="00F67098">
        <w:rPr>
          <w:i w:val="0"/>
          <w:iCs w:val="0"/>
          <w:color w:val="auto"/>
          <w:sz w:val="20"/>
          <w:szCs w:val="20"/>
        </w:rPr>
        <w:fldChar w:fldCharType="separate"/>
      </w:r>
      <w:r w:rsidR="00784805">
        <w:rPr>
          <w:i w:val="0"/>
          <w:iCs w:val="0"/>
          <w:noProof/>
          <w:color w:val="auto"/>
          <w:sz w:val="20"/>
          <w:szCs w:val="20"/>
        </w:rPr>
        <w:t>18</w:t>
      </w:r>
      <w:r w:rsidRPr="00F67098">
        <w:rPr>
          <w:i w:val="0"/>
          <w:iCs w:val="0"/>
          <w:color w:val="auto"/>
          <w:sz w:val="20"/>
          <w:szCs w:val="20"/>
        </w:rPr>
        <w:fldChar w:fldCharType="end"/>
      </w:r>
      <w:r w:rsidRPr="00F67098">
        <w:rPr>
          <w:i w:val="0"/>
          <w:iCs w:val="0"/>
          <w:color w:val="auto"/>
          <w:sz w:val="20"/>
          <w:szCs w:val="20"/>
        </w:rPr>
        <w:t>: Predlog spremembe področij ukrepanja</w:t>
      </w:r>
      <w:bookmarkEnd w:id="132"/>
    </w:p>
    <w:p w14:paraId="2DCCC718" w14:textId="77777777" w:rsidR="007D6A65" w:rsidRPr="007D6A65" w:rsidRDefault="007D6A65" w:rsidP="007D6A65">
      <w:pPr>
        <w:spacing w:after="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1559"/>
        <w:gridCol w:w="1840"/>
        <w:gridCol w:w="1420"/>
      </w:tblGrid>
      <w:tr w:rsidR="00B4316A" w:rsidRPr="0066461B" w14:paraId="494DD014" w14:textId="77777777" w:rsidTr="00D82F16">
        <w:trPr>
          <w:trHeight w:val="504"/>
        </w:trPr>
        <w:tc>
          <w:tcPr>
            <w:tcW w:w="4248" w:type="dxa"/>
            <w:shd w:val="clear" w:color="auto" w:fill="D9E2F3" w:themeFill="accent1" w:themeFillTint="33"/>
            <w:vAlign w:val="bottom"/>
            <w:hideMark/>
          </w:tcPr>
          <w:p w14:paraId="15E0BFFF" w14:textId="77777777" w:rsidR="00B4316A" w:rsidRPr="009E5A3A" w:rsidRDefault="00B4316A" w:rsidP="00B4316A">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Področje ukrepanja</w:t>
            </w:r>
          </w:p>
        </w:tc>
        <w:tc>
          <w:tcPr>
            <w:tcW w:w="1559" w:type="dxa"/>
            <w:shd w:val="clear" w:color="auto" w:fill="D9E2F3" w:themeFill="accent1" w:themeFillTint="33"/>
            <w:vAlign w:val="bottom"/>
            <w:hideMark/>
          </w:tcPr>
          <w:p w14:paraId="6A324551" w14:textId="77777777" w:rsidR="00B4316A" w:rsidRPr="009E5A3A" w:rsidRDefault="00B4316A" w:rsidP="00B4316A">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Podpora unije</w:t>
            </w:r>
          </w:p>
        </w:tc>
        <w:tc>
          <w:tcPr>
            <w:tcW w:w="1840" w:type="dxa"/>
            <w:shd w:val="clear" w:color="auto" w:fill="D9E2F3" w:themeFill="accent1" w:themeFillTint="33"/>
            <w:vAlign w:val="bottom"/>
            <w:hideMark/>
          </w:tcPr>
          <w:p w14:paraId="259A30A9" w14:textId="77777777" w:rsidR="00B4316A" w:rsidRPr="009E5A3A" w:rsidRDefault="00B4316A" w:rsidP="00B4316A">
            <w:pPr>
              <w:spacing w:after="0" w:line="240" w:lineRule="auto"/>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Predlog povečanja Podpore Unije</w:t>
            </w:r>
          </w:p>
        </w:tc>
        <w:tc>
          <w:tcPr>
            <w:tcW w:w="1420" w:type="dxa"/>
            <w:shd w:val="clear" w:color="auto" w:fill="D9E2F3" w:themeFill="accent1" w:themeFillTint="33"/>
            <w:vAlign w:val="bottom"/>
            <w:hideMark/>
          </w:tcPr>
          <w:p w14:paraId="27497D04" w14:textId="77777777" w:rsidR="00B4316A" w:rsidRPr="009E5A3A" w:rsidRDefault="00B4316A" w:rsidP="00B4316A">
            <w:pPr>
              <w:spacing w:after="0" w:line="240" w:lineRule="auto"/>
              <w:jc w:val="right"/>
              <w:rPr>
                <w:rFonts w:eastAsia="Times New Roman" w:cs="Arial"/>
                <w:color w:val="000000"/>
                <w:kern w:val="0"/>
                <w:szCs w:val="20"/>
                <w:lang w:eastAsia="sl-SI"/>
                <w14:ligatures w14:val="none"/>
              </w:rPr>
            </w:pPr>
            <w:r w:rsidRPr="009E5A3A">
              <w:rPr>
                <w:rFonts w:eastAsia="Times New Roman" w:cs="Arial"/>
                <w:color w:val="000000"/>
                <w:kern w:val="0"/>
                <w:szCs w:val="20"/>
                <w:lang w:eastAsia="sl-SI"/>
                <w14:ligatures w14:val="none"/>
              </w:rPr>
              <w:t>Podpora unije po spremembi</w:t>
            </w:r>
          </w:p>
        </w:tc>
      </w:tr>
      <w:tr w:rsidR="00B4316A" w:rsidRPr="0066461B" w14:paraId="15184090" w14:textId="77777777" w:rsidTr="00D82F16">
        <w:trPr>
          <w:trHeight w:val="885"/>
        </w:trPr>
        <w:tc>
          <w:tcPr>
            <w:tcW w:w="4248" w:type="dxa"/>
            <w:shd w:val="clear" w:color="auto" w:fill="auto"/>
            <w:vAlign w:val="bottom"/>
            <w:hideMark/>
          </w:tcPr>
          <w:p w14:paraId="49346FFF" w14:textId="78913947" w:rsidR="00B4316A" w:rsidRPr="000B3E1A" w:rsidRDefault="00B4316A" w:rsidP="00707F21">
            <w:pPr>
              <w:spacing w:after="0" w:line="240" w:lineRule="auto"/>
              <w:jc w:val="both"/>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 xml:space="preserve">058 - Prilagajanje ukrepom v zvezi s podnebnimi spremembami ter preprečevanje in obvladovanje tveganj, povezanih s podnebnimi spremembami: poplave in zemeljski plazovi (vključno z ozaveščanjem, </w:t>
            </w:r>
            <w:r w:rsidR="009E0F6F">
              <w:t>civilno zaščito in sistemi za obvladovanje nesreč, infrastrukturo in ekosistemskimi pristopi)</w:t>
            </w:r>
          </w:p>
        </w:tc>
        <w:tc>
          <w:tcPr>
            <w:tcW w:w="1559" w:type="dxa"/>
            <w:shd w:val="clear" w:color="auto" w:fill="auto"/>
            <w:vAlign w:val="bottom"/>
            <w:hideMark/>
          </w:tcPr>
          <w:p w14:paraId="7BB97694" w14:textId="77777777" w:rsidR="00B4316A" w:rsidRPr="000B3E1A" w:rsidRDefault="00B4316A" w:rsidP="00B4316A">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22.638.000,00</w:t>
            </w:r>
          </w:p>
        </w:tc>
        <w:tc>
          <w:tcPr>
            <w:tcW w:w="1840" w:type="dxa"/>
            <w:shd w:val="clear" w:color="auto" w:fill="auto"/>
            <w:vAlign w:val="bottom"/>
            <w:hideMark/>
          </w:tcPr>
          <w:p w14:paraId="15071004" w14:textId="77777777" w:rsidR="00B4316A" w:rsidRPr="000B3E1A" w:rsidRDefault="00B4316A" w:rsidP="00B4316A">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 </w:t>
            </w:r>
          </w:p>
        </w:tc>
        <w:tc>
          <w:tcPr>
            <w:tcW w:w="1420" w:type="dxa"/>
            <w:shd w:val="clear" w:color="auto" w:fill="auto"/>
            <w:noWrap/>
            <w:vAlign w:val="bottom"/>
            <w:hideMark/>
          </w:tcPr>
          <w:p w14:paraId="4AFE33DB" w14:textId="77777777" w:rsidR="00B4316A" w:rsidRPr="000B3E1A" w:rsidRDefault="00B4316A" w:rsidP="00B4316A">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28.458.000,00</w:t>
            </w:r>
          </w:p>
        </w:tc>
      </w:tr>
      <w:tr w:rsidR="00B4316A" w:rsidRPr="0066461B" w14:paraId="4498EAC0" w14:textId="77777777" w:rsidTr="00D82F16">
        <w:trPr>
          <w:trHeight w:val="900"/>
        </w:trPr>
        <w:tc>
          <w:tcPr>
            <w:tcW w:w="4248" w:type="dxa"/>
            <w:shd w:val="clear" w:color="auto" w:fill="auto"/>
            <w:vAlign w:val="bottom"/>
            <w:hideMark/>
          </w:tcPr>
          <w:p w14:paraId="5E718C48" w14:textId="3961C83C" w:rsidR="00B4316A" w:rsidRPr="000B3E1A" w:rsidRDefault="00B4316A" w:rsidP="00707F21">
            <w:pPr>
              <w:spacing w:after="0" w:line="240" w:lineRule="auto"/>
              <w:jc w:val="both"/>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 xml:space="preserve">059 - Prilagajanje ukrepom v zvezi s podnebnimi spremembami ter preprečevanje in obvladovanje tveganj, povezanih s podnebnimi spremembami: požari (vključno z ozaveščanjem, civilno zaščito ter sistemi, </w:t>
            </w:r>
            <w:r w:rsidR="009E0F6F">
              <w:t>infrastrukturo in ekosistemskimi pristopi)</w:t>
            </w:r>
          </w:p>
        </w:tc>
        <w:tc>
          <w:tcPr>
            <w:tcW w:w="1559" w:type="dxa"/>
            <w:shd w:val="clear" w:color="auto" w:fill="auto"/>
            <w:vAlign w:val="bottom"/>
            <w:hideMark/>
          </w:tcPr>
          <w:p w14:paraId="451F9A4C" w14:textId="77777777" w:rsidR="00B4316A" w:rsidRPr="000B3E1A" w:rsidRDefault="00B4316A" w:rsidP="00B4316A">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16.648.000,00</w:t>
            </w:r>
          </w:p>
        </w:tc>
        <w:tc>
          <w:tcPr>
            <w:tcW w:w="1840" w:type="dxa"/>
            <w:shd w:val="clear" w:color="auto" w:fill="auto"/>
            <w:vAlign w:val="bottom"/>
            <w:hideMark/>
          </w:tcPr>
          <w:p w14:paraId="686F1DEA" w14:textId="77777777" w:rsidR="00B4316A" w:rsidRPr="000B3E1A" w:rsidRDefault="00B4316A" w:rsidP="00B4316A">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 </w:t>
            </w:r>
          </w:p>
        </w:tc>
        <w:tc>
          <w:tcPr>
            <w:tcW w:w="1420" w:type="dxa"/>
            <w:shd w:val="clear" w:color="auto" w:fill="auto"/>
            <w:noWrap/>
            <w:vAlign w:val="bottom"/>
            <w:hideMark/>
          </w:tcPr>
          <w:p w14:paraId="09DB7EB7" w14:textId="77777777" w:rsidR="00B4316A" w:rsidRPr="000B3E1A" w:rsidRDefault="00B4316A" w:rsidP="00B4316A">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17.618.000,00</w:t>
            </w:r>
          </w:p>
        </w:tc>
      </w:tr>
      <w:tr w:rsidR="00B4316A" w:rsidRPr="0066461B" w14:paraId="42DF8C8C" w14:textId="77777777" w:rsidTr="00D82F16">
        <w:trPr>
          <w:trHeight w:val="855"/>
        </w:trPr>
        <w:tc>
          <w:tcPr>
            <w:tcW w:w="4248" w:type="dxa"/>
            <w:shd w:val="clear" w:color="auto" w:fill="auto"/>
            <w:vAlign w:val="bottom"/>
            <w:hideMark/>
          </w:tcPr>
          <w:p w14:paraId="3972B166" w14:textId="0ECA6150" w:rsidR="00B4316A" w:rsidRPr="000B3E1A" w:rsidRDefault="00B4316A" w:rsidP="00B4316A">
            <w:pPr>
              <w:spacing w:after="0" w:line="240" w:lineRule="auto"/>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 xml:space="preserve">060 - Prilagajanje ukrepom v zvezi s podnebnimi spremembami ter preprečevanje in obvladovanje tveganj, povezanih s podnebnimi </w:t>
            </w:r>
            <w:r w:rsidRPr="009E0F6F">
              <w:rPr>
                <w:rFonts w:eastAsia="Times New Roman" w:cs="Arial"/>
                <w:color w:val="000000"/>
                <w:kern w:val="0"/>
                <w:szCs w:val="20"/>
                <w:lang w:eastAsia="sl-SI"/>
                <w14:ligatures w14:val="none"/>
              </w:rPr>
              <w:t xml:space="preserve">spremembami: drugo, npr. nevihte in suša (vključno z ozaveščanjem, </w:t>
            </w:r>
            <w:r w:rsidR="009E0F6F">
              <w:t>civilno zaščito in sistemi za obvladovanje nesreč, infrastrukturo in ekosistemskimi pristopi)</w:t>
            </w:r>
          </w:p>
        </w:tc>
        <w:tc>
          <w:tcPr>
            <w:tcW w:w="1559" w:type="dxa"/>
            <w:shd w:val="clear" w:color="auto" w:fill="auto"/>
            <w:vAlign w:val="bottom"/>
            <w:hideMark/>
          </w:tcPr>
          <w:p w14:paraId="000C743E" w14:textId="77777777" w:rsidR="00B4316A" w:rsidRPr="000B3E1A" w:rsidRDefault="00B4316A" w:rsidP="00B4316A">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10.444.000,00</w:t>
            </w:r>
          </w:p>
        </w:tc>
        <w:tc>
          <w:tcPr>
            <w:tcW w:w="1840" w:type="dxa"/>
            <w:shd w:val="clear" w:color="auto" w:fill="auto"/>
            <w:hideMark/>
          </w:tcPr>
          <w:p w14:paraId="78D42E5C" w14:textId="1F003AE4" w:rsidR="00B4316A" w:rsidRPr="000B3E1A" w:rsidRDefault="00B4316A" w:rsidP="00106E51">
            <w:pPr>
              <w:spacing w:after="0" w:line="240" w:lineRule="auto"/>
              <w:jc w:val="center"/>
              <w:rPr>
                <w:rFonts w:eastAsia="Times New Roman" w:cs="Arial"/>
                <w:color w:val="000000"/>
                <w:kern w:val="0"/>
                <w:szCs w:val="20"/>
                <w:lang w:eastAsia="sl-SI"/>
                <w14:ligatures w14:val="none"/>
              </w:rPr>
            </w:pPr>
          </w:p>
        </w:tc>
        <w:tc>
          <w:tcPr>
            <w:tcW w:w="1420" w:type="dxa"/>
            <w:shd w:val="clear" w:color="auto" w:fill="auto"/>
            <w:noWrap/>
            <w:vAlign w:val="bottom"/>
            <w:hideMark/>
          </w:tcPr>
          <w:p w14:paraId="7F037655" w14:textId="77777777" w:rsidR="00B4316A" w:rsidRPr="000B3E1A" w:rsidRDefault="00B4316A" w:rsidP="00B4316A">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13.354.000,00</w:t>
            </w:r>
          </w:p>
        </w:tc>
      </w:tr>
      <w:tr w:rsidR="00B4316A" w:rsidRPr="0066461B" w14:paraId="62ACF6D6" w14:textId="77777777" w:rsidTr="00D82F16">
        <w:trPr>
          <w:trHeight w:val="300"/>
        </w:trPr>
        <w:tc>
          <w:tcPr>
            <w:tcW w:w="4248" w:type="dxa"/>
            <w:shd w:val="clear" w:color="auto" w:fill="auto"/>
            <w:vAlign w:val="bottom"/>
            <w:hideMark/>
          </w:tcPr>
          <w:p w14:paraId="151F9F78" w14:textId="1596C0E4" w:rsidR="00B4316A" w:rsidRPr="00443178" w:rsidRDefault="00443178" w:rsidP="00B4316A">
            <w:pPr>
              <w:spacing w:after="0" w:line="240" w:lineRule="auto"/>
              <w:jc w:val="right"/>
              <w:rPr>
                <w:rFonts w:eastAsia="Times New Roman" w:cs="Arial"/>
                <w:b/>
                <w:bCs/>
                <w:color w:val="000000"/>
                <w:kern w:val="0"/>
                <w:szCs w:val="20"/>
                <w:lang w:eastAsia="sl-SI"/>
                <w14:ligatures w14:val="none"/>
              </w:rPr>
            </w:pPr>
            <w:r w:rsidRPr="00443178">
              <w:rPr>
                <w:rFonts w:eastAsia="Times New Roman" w:cs="Arial"/>
                <w:b/>
                <w:bCs/>
                <w:color w:val="000000"/>
                <w:kern w:val="0"/>
                <w:szCs w:val="20"/>
                <w:lang w:eastAsia="sl-SI"/>
                <w14:ligatures w14:val="none"/>
              </w:rPr>
              <w:t>SKUPAJ</w:t>
            </w:r>
          </w:p>
        </w:tc>
        <w:tc>
          <w:tcPr>
            <w:tcW w:w="1559" w:type="dxa"/>
            <w:shd w:val="clear" w:color="auto" w:fill="auto"/>
            <w:vAlign w:val="bottom"/>
            <w:hideMark/>
          </w:tcPr>
          <w:p w14:paraId="79357271" w14:textId="77777777" w:rsidR="00B4316A" w:rsidRPr="000B3E1A" w:rsidRDefault="00B4316A" w:rsidP="00B4316A">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49.730.000,00</w:t>
            </w:r>
          </w:p>
        </w:tc>
        <w:tc>
          <w:tcPr>
            <w:tcW w:w="1840" w:type="dxa"/>
            <w:shd w:val="clear" w:color="auto" w:fill="auto"/>
            <w:vAlign w:val="bottom"/>
            <w:hideMark/>
          </w:tcPr>
          <w:p w14:paraId="12744D91" w14:textId="77777777" w:rsidR="00B4316A" w:rsidRPr="000B3E1A" w:rsidRDefault="00B4316A" w:rsidP="00B4316A">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9.700.000,00</w:t>
            </w:r>
          </w:p>
        </w:tc>
        <w:tc>
          <w:tcPr>
            <w:tcW w:w="1420" w:type="dxa"/>
            <w:shd w:val="clear" w:color="auto" w:fill="auto"/>
            <w:noWrap/>
            <w:vAlign w:val="bottom"/>
            <w:hideMark/>
          </w:tcPr>
          <w:p w14:paraId="12D0788A" w14:textId="77777777" w:rsidR="00B4316A" w:rsidRPr="000B3E1A" w:rsidRDefault="00B4316A" w:rsidP="00B4316A">
            <w:pPr>
              <w:spacing w:after="0" w:line="240" w:lineRule="auto"/>
              <w:jc w:val="right"/>
              <w:rPr>
                <w:rFonts w:eastAsia="Times New Roman" w:cs="Arial"/>
                <w:b/>
                <w:bCs/>
                <w:color w:val="000000"/>
                <w:kern w:val="0"/>
                <w:szCs w:val="20"/>
                <w:lang w:eastAsia="sl-SI"/>
                <w14:ligatures w14:val="none"/>
              </w:rPr>
            </w:pPr>
            <w:r w:rsidRPr="000B3E1A">
              <w:rPr>
                <w:rFonts w:eastAsia="Times New Roman" w:cs="Arial"/>
                <w:b/>
                <w:bCs/>
                <w:color w:val="000000"/>
                <w:kern w:val="0"/>
                <w:szCs w:val="20"/>
                <w:lang w:eastAsia="sl-SI"/>
                <w14:ligatures w14:val="none"/>
              </w:rPr>
              <w:t>59.430.000,00</w:t>
            </w:r>
          </w:p>
        </w:tc>
      </w:tr>
    </w:tbl>
    <w:p w14:paraId="44F78DD1" w14:textId="77777777" w:rsidR="002E1975" w:rsidRPr="00C13D02" w:rsidRDefault="002E1975" w:rsidP="002E1975">
      <w:pPr>
        <w:autoSpaceDE w:val="0"/>
        <w:autoSpaceDN w:val="0"/>
        <w:adjustRightInd w:val="0"/>
        <w:spacing w:after="0" w:line="240" w:lineRule="auto"/>
        <w:jc w:val="both"/>
        <w:rPr>
          <w:rFonts w:cstheme="minorHAnsi"/>
          <w:kern w:val="0"/>
        </w:rPr>
      </w:pPr>
    </w:p>
    <w:p w14:paraId="68086031" w14:textId="695937F7" w:rsidR="002E1975" w:rsidRDefault="00800F02" w:rsidP="00446D40">
      <w:pPr>
        <w:numPr>
          <w:ilvl w:val="0"/>
          <w:numId w:val="15"/>
        </w:numPr>
        <w:autoSpaceDE w:val="0"/>
        <w:autoSpaceDN w:val="0"/>
        <w:adjustRightInd w:val="0"/>
        <w:spacing w:after="0" w:line="240" w:lineRule="auto"/>
        <w:contextualSpacing/>
        <w:jc w:val="both"/>
        <w:rPr>
          <w:rFonts w:cstheme="minorHAnsi"/>
          <w:kern w:val="0"/>
        </w:rPr>
      </w:pPr>
      <w:r>
        <w:rPr>
          <w:rFonts w:cstheme="minorHAnsi"/>
          <w:b/>
          <w:bCs/>
          <w:kern w:val="0"/>
          <w:u w:val="single"/>
        </w:rPr>
        <w:t>Redakcijske spremembe na ukrepu »Z</w:t>
      </w:r>
      <w:r w:rsidRPr="00800F02">
        <w:rPr>
          <w:rFonts w:cstheme="minorHAnsi"/>
          <w:b/>
          <w:bCs/>
          <w:kern w:val="0"/>
          <w:u w:val="single"/>
        </w:rPr>
        <w:t>manjšanje poplavne ogroženosti na območjih pomembnega vpliva poplav, ki izkazujejo najvišjo stopnjo pripravljenosti za izvedbo</w:t>
      </w:r>
      <w:r>
        <w:rPr>
          <w:rFonts w:cstheme="minorHAnsi"/>
          <w:b/>
          <w:bCs/>
          <w:kern w:val="0"/>
          <w:u w:val="single"/>
        </w:rPr>
        <w:t>« (KS, ESRR)</w:t>
      </w:r>
      <w:r w:rsidR="002E1975" w:rsidRPr="00C13D02">
        <w:rPr>
          <w:rFonts w:cstheme="minorHAnsi"/>
          <w:kern w:val="0"/>
        </w:rPr>
        <w:t xml:space="preserve">: </w:t>
      </w:r>
    </w:p>
    <w:p w14:paraId="3A1A7A20" w14:textId="77777777" w:rsidR="002D2511" w:rsidRPr="00C13D02" w:rsidRDefault="002D2511" w:rsidP="00860FCE">
      <w:pPr>
        <w:autoSpaceDE w:val="0"/>
        <w:autoSpaceDN w:val="0"/>
        <w:adjustRightInd w:val="0"/>
        <w:spacing w:after="0" w:line="240" w:lineRule="auto"/>
        <w:contextualSpacing/>
        <w:jc w:val="both"/>
        <w:rPr>
          <w:rFonts w:cstheme="minorHAnsi"/>
          <w:kern w:val="0"/>
        </w:rPr>
      </w:pPr>
    </w:p>
    <w:p w14:paraId="245F2CC4" w14:textId="54579F48" w:rsidR="002E1975" w:rsidRPr="00C13D02" w:rsidRDefault="00800F02" w:rsidP="002E1975">
      <w:pPr>
        <w:autoSpaceDE w:val="0"/>
        <w:autoSpaceDN w:val="0"/>
        <w:adjustRightInd w:val="0"/>
        <w:spacing w:after="0" w:line="240" w:lineRule="auto"/>
        <w:jc w:val="both"/>
        <w:rPr>
          <w:rFonts w:cstheme="minorHAnsi"/>
          <w:kern w:val="0"/>
        </w:rPr>
      </w:pPr>
      <w:r>
        <w:rPr>
          <w:rFonts w:cstheme="minorHAnsi"/>
          <w:kern w:val="0"/>
        </w:rPr>
        <w:t>Na ukrepu se predlagajo:</w:t>
      </w:r>
    </w:p>
    <w:p w14:paraId="7245236E" w14:textId="77777777" w:rsidR="002E1975" w:rsidRPr="00C13D02" w:rsidRDefault="002E1975" w:rsidP="00446D40">
      <w:pPr>
        <w:numPr>
          <w:ilvl w:val="0"/>
          <w:numId w:val="6"/>
        </w:numPr>
        <w:autoSpaceDE w:val="0"/>
        <w:autoSpaceDN w:val="0"/>
        <w:adjustRightInd w:val="0"/>
        <w:spacing w:after="0" w:line="240" w:lineRule="auto"/>
        <w:contextualSpacing/>
        <w:jc w:val="both"/>
        <w:rPr>
          <w:rFonts w:cstheme="minorHAnsi"/>
          <w:kern w:val="0"/>
        </w:rPr>
      </w:pPr>
      <w:r w:rsidRPr="00C13D02">
        <w:rPr>
          <w:rFonts w:cstheme="minorHAnsi"/>
          <w:kern w:val="0"/>
        </w:rPr>
        <w:t>redakcijski popravki opisa ukrepa v besedilu PEKP 2021–2027,</w:t>
      </w:r>
    </w:p>
    <w:p w14:paraId="616D370F" w14:textId="77777777" w:rsidR="002E1975" w:rsidRPr="00C13D02" w:rsidRDefault="002E1975" w:rsidP="00446D40">
      <w:pPr>
        <w:numPr>
          <w:ilvl w:val="0"/>
          <w:numId w:val="6"/>
        </w:numPr>
        <w:autoSpaceDE w:val="0"/>
        <w:autoSpaceDN w:val="0"/>
        <w:adjustRightInd w:val="0"/>
        <w:spacing w:after="0" w:line="240" w:lineRule="auto"/>
        <w:contextualSpacing/>
        <w:jc w:val="both"/>
        <w:rPr>
          <w:rFonts w:cstheme="minorHAnsi"/>
          <w:kern w:val="0"/>
        </w:rPr>
      </w:pPr>
      <w:r w:rsidRPr="00C13D02">
        <w:rPr>
          <w:rFonts w:cstheme="minorHAnsi"/>
          <w:kern w:val="0"/>
        </w:rPr>
        <w:t>upoštevanje novih dejstev, ki jih je prinesel poplavni dogodek avgusta 2023,</w:t>
      </w:r>
    </w:p>
    <w:p w14:paraId="35E61D48" w14:textId="77777777" w:rsidR="002E1975" w:rsidRPr="00C13D02" w:rsidRDefault="002E1975" w:rsidP="00446D40">
      <w:pPr>
        <w:numPr>
          <w:ilvl w:val="0"/>
          <w:numId w:val="6"/>
        </w:numPr>
        <w:autoSpaceDE w:val="0"/>
        <w:autoSpaceDN w:val="0"/>
        <w:adjustRightInd w:val="0"/>
        <w:spacing w:after="0" w:line="240" w:lineRule="auto"/>
        <w:contextualSpacing/>
        <w:jc w:val="both"/>
        <w:rPr>
          <w:rFonts w:cstheme="minorHAnsi"/>
          <w:kern w:val="0"/>
        </w:rPr>
      </w:pPr>
      <w:r w:rsidRPr="00C13D02">
        <w:rPr>
          <w:rFonts w:cstheme="minorHAnsi"/>
          <w:kern w:val="0"/>
        </w:rPr>
        <w:t>upoštevanje prenosa operacij iz EKP 2014-2020 v EKP 2021–2027,</w:t>
      </w:r>
    </w:p>
    <w:p w14:paraId="57FE1D09" w14:textId="1ED00998" w:rsidR="002E1975" w:rsidRPr="00C13D02" w:rsidRDefault="002E1975" w:rsidP="00446D40">
      <w:pPr>
        <w:numPr>
          <w:ilvl w:val="0"/>
          <w:numId w:val="6"/>
        </w:numPr>
        <w:autoSpaceDE w:val="0"/>
        <w:autoSpaceDN w:val="0"/>
        <w:adjustRightInd w:val="0"/>
        <w:spacing w:after="0" w:line="240" w:lineRule="auto"/>
        <w:contextualSpacing/>
        <w:jc w:val="both"/>
        <w:rPr>
          <w:rFonts w:cstheme="minorHAnsi"/>
          <w:kern w:val="0"/>
        </w:rPr>
      </w:pPr>
      <w:r w:rsidRPr="00C13D02">
        <w:rPr>
          <w:rFonts w:cstheme="minorHAnsi"/>
          <w:kern w:val="0"/>
        </w:rPr>
        <w:t xml:space="preserve">redakcijski popravki </w:t>
      </w:r>
      <w:r w:rsidR="00F17F51">
        <w:rPr>
          <w:rFonts w:cstheme="minorHAnsi"/>
          <w:kern w:val="0"/>
        </w:rPr>
        <w:t>spremembe</w:t>
      </w:r>
      <w:r w:rsidR="00F17F51" w:rsidRPr="00C13D02">
        <w:rPr>
          <w:rFonts w:cstheme="minorHAnsi"/>
          <w:kern w:val="0"/>
        </w:rPr>
        <w:t xml:space="preserve"> </w:t>
      </w:r>
      <w:r w:rsidRPr="00C13D02">
        <w:rPr>
          <w:rFonts w:cstheme="minorHAnsi"/>
          <w:kern w:val="0"/>
        </w:rPr>
        <w:t>kazalnika RC35 v besedilu PEKP 2021–2027 in metodološkem listu.</w:t>
      </w:r>
    </w:p>
    <w:p w14:paraId="4AACBFDB" w14:textId="77777777" w:rsidR="002E1975" w:rsidRPr="00C13D02" w:rsidRDefault="002E1975" w:rsidP="002E1975">
      <w:pPr>
        <w:autoSpaceDE w:val="0"/>
        <w:autoSpaceDN w:val="0"/>
        <w:adjustRightInd w:val="0"/>
        <w:spacing w:after="0" w:line="240" w:lineRule="auto"/>
        <w:jc w:val="both"/>
        <w:rPr>
          <w:rFonts w:cstheme="minorHAnsi"/>
          <w:kern w:val="0"/>
        </w:rPr>
      </w:pPr>
    </w:p>
    <w:p w14:paraId="60490960" w14:textId="77777777" w:rsidR="002E1975" w:rsidRDefault="002E1975" w:rsidP="00446D40">
      <w:pPr>
        <w:numPr>
          <w:ilvl w:val="0"/>
          <w:numId w:val="15"/>
        </w:numPr>
        <w:autoSpaceDE w:val="0"/>
        <w:autoSpaceDN w:val="0"/>
        <w:adjustRightInd w:val="0"/>
        <w:spacing w:after="0" w:line="240" w:lineRule="auto"/>
        <w:contextualSpacing/>
        <w:jc w:val="both"/>
        <w:rPr>
          <w:rFonts w:cstheme="minorHAnsi"/>
          <w:kern w:val="0"/>
          <w:u w:val="single"/>
        </w:rPr>
      </w:pPr>
      <w:r w:rsidRPr="00042CC5">
        <w:rPr>
          <w:rFonts w:cstheme="minorHAnsi"/>
          <w:b/>
          <w:bCs/>
          <w:kern w:val="0"/>
          <w:u w:val="single"/>
        </w:rPr>
        <w:t>Ukrepi za odziv na podnebno pogojene nesreče (KS)</w:t>
      </w:r>
      <w:r w:rsidRPr="00C13D02">
        <w:rPr>
          <w:rFonts w:cstheme="minorHAnsi"/>
          <w:kern w:val="0"/>
          <w:u w:val="single"/>
        </w:rPr>
        <w:t>:</w:t>
      </w:r>
    </w:p>
    <w:p w14:paraId="40711B70" w14:textId="77777777" w:rsidR="002D2511" w:rsidRPr="00C13D02" w:rsidRDefault="002D2511" w:rsidP="002D2511">
      <w:pPr>
        <w:autoSpaceDE w:val="0"/>
        <w:autoSpaceDN w:val="0"/>
        <w:adjustRightInd w:val="0"/>
        <w:spacing w:after="0" w:line="240" w:lineRule="auto"/>
        <w:ind w:left="360"/>
        <w:contextualSpacing/>
        <w:jc w:val="both"/>
        <w:rPr>
          <w:rFonts w:cstheme="minorHAnsi"/>
          <w:kern w:val="0"/>
          <w:u w:val="single"/>
        </w:rPr>
      </w:pPr>
    </w:p>
    <w:p w14:paraId="6CF99964" w14:textId="77777777" w:rsidR="002E1975" w:rsidRPr="00C13D02" w:rsidRDefault="002E1975" w:rsidP="00446D40">
      <w:pPr>
        <w:numPr>
          <w:ilvl w:val="0"/>
          <w:numId w:val="7"/>
        </w:numPr>
        <w:autoSpaceDE w:val="0"/>
        <w:autoSpaceDN w:val="0"/>
        <w:adjustRightInd w:val="0"/>
        <w:spacing w:after="0" w:line="240" w:lineRule="auto"/>
        <w:contextualSpacing/>
        <w:jc w:val="both"/>
        <w:rPr>
          <w:rFonts w:cstheme="minorHAnsi"/>
          <w:kern w:val="0"/>
        </w:rPr>
      </w:pPr>
      <w:r w:rsidRPr="00C13D02">
        <w:rPr>
          <w:rFonts w:cstheme="minorHAnsi"/>
          <w:kern w:val="0"/>
        </w:rPr>
        <w:t>redakcijski popravki opisa ukrepa v besedilu PEKP 2021–2027 in metodološkem listu,</w:t>
      </w:r>
    </w:p>
    <w:p w14:paraId="3E7E7249" w14:textId="245BEE30" w:rsidR="002E1975" w:rsidRDefault="002E1975" w:rsidP="00446D40">
      <w:pPr>
        <w:numPr>
          <w:ilvl w:val="0"/>
          <w:numId w:val="7"/>
        </w:numPr>
        <w:autoSpaceDE w:val="0"/>
        <w:autoSpaceDN w:val="0"/>
        <w:adjustRightInd w:val="0"/>
        <w:spacing w:after="0" w:line="240" w:lineRule="auto"/>
        <w:contextualSpacing/>
        <w:jc w:val="both"/>
        <w:rPr>
          <w:rFonts w:cstheme="minorHAnsi"/>
          <w:kern w:val="0"/>
        </w:rPr>
      </w:pPr>
      <w:r w:rsidRPr="00C13D02">
        <w:rPr>
          <w:rFonts w:cstheme="minorHAnsi"/>
          <w:kern w:val="0"/>
        </w:rPr>
        <w:t>specifična navedba nakupa manjših letal za gašenje požarov v opis ukrepa v besedilu PEKP 2021–2027 in v metodološkem listu ter izbris ostale opreme za gašenje požarov</w:t>
      </w:r>
      <w:r w:rsidR="00123AAC">
        <w:rPr>
          <w:rFonts w:cstheme="minorHAnsi"/>
          <w:kern w:val="0"/>
        </w:rPr>
        <w:t>,</w:t>
      </w:r>
    </w:p>
    <w:p w14:paraId="1F289E14" w14:textId="44CA1ADA" w:rsidR="00123AAC" w:rsidRDefault="00123AAC" w:rsidP="001F3ABB">
      <w:pPr>
        <w:numPr>
          <w:ilvl w:val="0"/>
          <w:numId w:val="7"/>
        </w:numPr>
        <w:autoSpaceDE w:val="0"/>
        <w:autoSpaceDN w:val="0"/>
        <w:adjustRightInd w:val="0"/>
        <w:spacing w:after="0" w:line="240" w:lineRule="auto"/>
        <w:contextualSpacing/>
        <w:jc w:val="both"/>
        <w:rPr>
          <w:rFonts w:cstheme="minorHAnsi"/>
          <w:kern w:val="0"/>
        </w:rPr>
      </w:pPr>
      <w:r w:rsidRPr="001F3ABB">
        <w:rPr>
          <w:rFonts w:cstheme="minorHAnsi"/>
          <w:kern w:val="0"/>
        </w:rPr>
        <w:t xml:space="preserve">prenos ukrepov Urada za zaščito in reševanje (URSCZR) iz NOO. Predvideno je, da se </w:t>
      </w:r>
      <w:r w:rsidR="001F3ABB" w:rsidRPr="001F3ABB">
        <w:rPr>
          <w:rFonts w:cstheme="minorHAnsi"/>
          <w:kern w:val="0"/>
        </w:rPr>
        <w:t xml:space="preserve">ukrepi </w:t>
      </w:r>
      <w:r w:rsidRPr="001F3ABB">
        <w:rPr>
          <w:rFonts w:cstheme="minorHAnsi"/>
          <w:kern w:val="0"/>
        </w:rPr>
        <w:t xml:space="preserve">URSCZR </w:t>
      </w:r>
      <w:r w:rsidR="001F3ABB" w:rsidRPr="001F3ABB">
        <w:rPr>
          <w:rFonts w:cstheme="minorHAnsi"/>
          <w:kern w:val="0"/>
        </w:rPr>
        <w:t xml:space="preserve">izvedejo </w:t>
      </w:r>
      <w:r w:rsidRPr="001F3ABB">
        <w:rPr>
          <w:rFonts w:cstheme="minorHAnsi"/>
          <w:kern w:val="0"/>
        </w:rPr>
        <w:t>s sredstvi PEKP 21</w:t>
      </w:r>
      <w:r w:rsidR="00941845" w:rsidRPr="00760426">
        <w:rPr>
          <w:rFonts w:cstheme="minorHAnsi"/>
        </w:rPr>
        <w:t>–</w:t>
      </w:r>
      <w:r w:rsidRPr="001F3ABB">
        <w:rPr>
          <w:rFonts w:cstheme="minorHAnsi"/>
          <w:kern w:val="0"/>
        </w:rPr>
        <w:t xml:space="preserve">27. Sofinanciralo </w:t>
      </w:r>
      <w:r w:rsidR="001F3ABB" w:rsidRPr="001F3ABB">
        <w:rPr>
          <w:rFonts w:cstheme="minorHAnsi"/>
          <w:kern w:val="0"/>
        </w:rPr>
        <w:t>se bo</w:t>
      </w:r>
      <w:r w:rsidRPr="001F3ABB">
        <w:rPr>
          <w:rFonts w:cstheme="minorHAnsi"/>
          <w:kern w:val="0"/>
        </w:rPr>
        <w:t>:</w:t>
      </w:r>
      <w:r w:rsidR="001F3ABB" w:rsidRPr="001F3ABB">
        <w:rPr>
          <w:rFonts w:cstheme="minorHAnsi"/>
          <w:kern w:val="0"/>
        </w:rPr>
        <w:t xml:space="preserve"> </w:t>
      </w:r>
      <w:r w:rsidRPr="001F3ABB">
        <w:rPr>
          <w:rFonts w:cstheme="minorHAnsi"/>
          <w:kern w:val="0"/>
        </w:rPr>
        <w:t>vzpostavit</w:t>
      </w:r>
      <w:r w:rsidR="001F3ABB" w:rsidRPr="001F3ABB">
        <w:rPr>
          <w:rFonts w:cstheme="minorHAnsi"/>
          <w:kern w:val="0"/>
        </w:rPr>
        <w:t>e</w:t>
      </w:r>
      <w:r w:rsidRPr="001F3ABB">
        <w:rPr>
          <w:rFonts w:cstheme="minorHAnsi"/>
          <w:kern w:val="0"/>
        </w:rPr>
        <w:t xml:space="preserve">v Nacionalnega centra civilne zaščite </w:t>
      </w:r>
      <w:r w:rsidR="001F3ABB" w:rsidRPr="001F3ABB">
        <w:rPr>
          <w:rFonts w:cstheme="minorHAnsi"/>
          <w:kern w:val="0"/>
        </w:rPr>
        <w:t>(</w:t>
      </w:r>
      <w:r w:rsidRPr="001F3ABB">
        <w:rPr>
          <w:rFonts w:cstheme="minorHAnsi"/>
          <w:kern w:val="0"/>
        </w:rPr>
        <w:t>v višini 1</w:t>
      </w:r>
      <w:r w:rsidR="001F3ABB" w:rsidRPr="001F3ABB">
        <w:rPr>
          <w:rFonts w:cstheme="minorHAnsi"/>
          <w:kern w:val="0"/>
        </w:rPr>
        <w:t>3</w:t>
      </w:r>
      <w:r w:rsidRPr="001F3ABB">
        <w:rPr>
          <w:rFonts w:cstheme="minorHAnsi"/>
          <w:kern w:val="0"/>
        </w:rPr>
        <w:t>,</w:t>
      </w:r>
      <w:r w:rsidR="001F3ABB" w:rsidRPr="001F3ABB">
        <w:rPr>
          <w:rFonts w:cstheme="minorHAnsi"/>
          <w:kern w:val="0"/>
        </w:rPr>
        <w:t>306</w:t>
      </w:r>
      <w:r w:rsidRPr="001F3ABB">
        <w:rPr>
          <w:rFonts w:cstheme="minorHAnsi"/>
          <w:kern w:val="0"/>
        </w:rPr>
        <w:t xml:space="preserve"> mio EUR</w:t>
      </w:r>
      <w:r w:rsidR="001F3ABB">
        <w:rPr>
          <w:rFonts w:cstheme="minorHAnsi"/>
          <w:kern w:val="0"/>
        </w:rPr>
        <w:t xml:space="preserve"> ESRR Zahod- se prerazporedi iz RSO2.5</w:t>
      </w:r>
      <w:r w:rsidR="001F3ABB" w:rsidRPr="001F3ABB">
        <w:rPr>
          <w:rFonts w:cstheme="minorHAnsi"/>
          <w:kern w:val="0"/>
        </w:rPr>
        <w:t>)</w:t>
      </w:r>
      <w:r w:rsidRPr="001F3ABB">
        <w:rPr>
          <w:rFonts w:cstheme="minorHAnsi"/>
          <w:kern w:val="0"/>
        </w:rPr>
        <w:t>,</w:t>
      </w:r>
      <w:r w:rsidR="001F3ABB" w:rsidRPr="001F3ABB">
        <w:rPr>
          <w:rFonts w:cstheme="minorHAnsi"/>
          <w:kern w:val="0"/>
        </w:rPr>
        <w:t xml:space="preserve"> </w:t>
      </w:r>
      <w:r w:rsidRPr="001F3ABB">
        <w:rPr>
          <w:rFonts w:cstheme="minorHAnsi"/>
          <w:kern w:val="0"/>
        </w:rPr>
        <w:t>vzpostavit</w:t>
      </w:r>
      <w:r w:rsidR="001F3ABB">
        <w:rPr>
          <w:rFonts w:cstheme="minorHAnsi"/>
          <w:kern w:val="0"/>
        </w:rPr>
        <w:t>e</w:t>
      </w:r>
      <w:r w:rsidRPr="001F3ABB">
        <w:rPr>
          <w:rFonts w:cstheme="minorHAnsi"/>
          <w:kern w:val="0"/>
        </w:rPr>
        <w:t xml:space="preserve">v </w:t>
      </w:r>
      <w:proofErr w:type="spellStart"/>
      <w:r w:rsidRPr="001F3ABB">
        <w:rPr>
          <w:rFonts w:cstheme="minorHAnsi"/>
          <w:kern w:val="0"/>
        </w:rPr>
        <w:t>podcentra</w:t>
      </w:r>
      <w:proofErr w:type="spellEnd"/>
      <w:r w:rsidRPr="001F3ABB">
        <w:rPr>
          <w:rFonts w:cstheme="minorHAnsi"/>
          <w:kern w:val="0"/>
        </w:rPr>
        <w:t xml:space="preserve"> za protipoplavno zaščito </w:t>
      </w:r>
      <w:r w:rsidR="001F3ABB">
        <w:rPr>
          <w:rFonts w:cstheme="minorHAnsi"/>
          <w:kern w:val="0"/>
        </w:rPr>
        <w:t>(</w:t>
      </w:r>
      <w:r w:rsidRPr="001F3ABB">
        <w:rPr>
          <w:rFonts w:cstheme="minorHAnsi"/>
          <w:kern w:val="0"/>
        </w:rPr>
        <w:t xml:space="preserve">v višini </w:t>
      </w:r>
      <w:r w:rsidR="001F3ABB">
        <w:rPr>
          <w:rFonts w:cstheme="minorHAnsi"/>
          <w:kern w:val="0"/>
        </w:rPr>
        <w:t>5</w:t>
      </w:r>
      <w:r w:rsidRPr="001F3ABB">
        <w:rPr>
          <w:rFonts w:cstheme="minorHAnsi"/>
          <w:kern w:val="0"/>
        </w:rPr>
        <w:t xml:space="preserve"> mio EUR</w:t>
      </w:r>
      <w:r w:rsidR="001F3ABB">
        <w:rPr>
          <w:rFonts w:cstheme="minorHAnsi"/>
          <w:kern w:val="0"/>
        </w:rPr>
        <w:t xml:space="preserve"> ESRR Vzhod)</w:t>
      </w:r>
      <w:r w:rsidRPr="001F3ABB">
        <w:rPr>
          <w:rFonts w:cstheme="minorHAnsi"/>
          <w:kern w:val="0"/>
        </w:rPr>
        <w:t>.</w:t>
      </w:r>
    </w:p>
    <w:p w14:paraId="70E9A2AC" w14:textId="77777777" w:rsidR="009C0499" w:rsidRDefault="009C0499" w:rsidP="00860FCE">
      <w:pPr>
        <w:autoSpaceDE w:val="0"/>
        <w:autoSpaceDN w:val="0"/>
        <w:adjustRightInd w:val="0"/>
        <w:spacing w:after="0" w:line="240" w:lineRule="auto"/>
        <w:contextualSpacing/>
        <w:jc w:val="both"/>
        <w:rPr>
          <w:rFonts w:cstheme="minorHAnsi"/>
          <w:kern w:val="0"/>
        </w:rPr>
      </w:pPr>
    </w:p>
    <w:p w14:paraId="247979A1" w14:textId="77777777" w:rsidR="006059E7" w:rsidRDefault="006059E7" w:rsidP="00860FCE">
      <w:pPr>
        <w:autoSpaceDE w:val="0"/>
        <w:autoSpaceDN w:val="0"/>
        <w:adjustRightInd w:val="0"/>
        <w:spacing w:after="0" w:line="240" w:lineRule="auto"/>
        <w:contextualSpacing/>
        <w:jc w:val="both"/>
        <w:rPr>
          <w:rFonts w:cstheme="minorHAnsi"/>
          <w:kern w:val="0"/>
        </w:rPr>
      </w:pPr>
    </w:p>
    <w:p w14:paraId="0A681D13" w14:textId="77777777" w:rsidR="006059E7" w:rsidRDefault="006059E7" w:rsidP="00860FCE">
      <w:pPr>
        <w:autoSpaceDE w:val="0"/>
        <w:autoSpaceDN w:val="0"/>
        <w:adjustRightInd w:val="0"/>
        <w:spacing w:after="0" w:line="240" w:lineRule="auto"/>
        <w:contextualSpacing/>
        <w:jc w:val="both"/>
        <w:rPr>
          <w:rFonts w:cstheme="minorHAnsi"/>
          <w:kern w:val="0"/>
        </w:rPr>
      </w:pPr>
    </w:p>
    <w:p w14:paraId="5E8BDEED" w14:textId="77777777" w:rsidR="006059E7" w:rsidRDefault="006059E7" w:rsidP="00860FCE">
      <w:pPr>
        <w:autoSpaceDE w:val="0"/>
        <w:autoSpaceDN w:val="0"/>
        <w:adjustRightInd w:val="0"/>
        <w:spacing w:after="0" w:line="240" w:lineRule="auto"/>
        <w:contextualSpacing/>
        <w:jc w:val="both"/>
        <w:rPr>
          <w:rFonts w:cstheme="minorHAnsi"/>
          <w:kern w:val="0"/>
        </w:rPr>
      </w:pPr>
    </w:p>
    <w:p w14:paraId="2412B06E" w14:textId="77777777" w:rsidR="006059E7" w:rsidRDefault="006059E7" w:rsidP="00860FCE">
      <w:pPr>
        <w:autoSpaceDE w:val="0"/>
        <w:autoSpaceDN w:val="0"/>
        <w:adjustRightInd w:val="0"/>
        <w:spacing w:after="0" w:line="240" w:lineRule="auto"/>
        <w:contextualSpacing/>
        <w:jc w:val="both"/>
        <w:rPr>
          <w:rFonts w:cstheme="minorHAnsi"/>
          <w:kern w:val="0"/>
        </w:rPr>
      </w:pPr>
    </w:p>
    <w:p w14:paraId="67C00EC2" w14:textId="77777777" w:rsidR="006059E7" w:rsidRDefault="006059E7" w:rsidP="00860FCE">
      <w:pPr>
        <w:autoSpaceDE w:val="0"/>
        <w:autoSpaceDN w:val="0"/>
        <w:adjustRightInd w:val="0"/>
        <w:spacing w:after="0" w:line="240" w:lineRule="auto"/>
        <w:contextualSpacing/>
        <w:jc w:val="both"/>
        <w:rPr>
          <w:rFonts w:cstheme="minorHAnsi"/>
          <w:kern w:val="0"/>
        </w:rPr>
      </w:pPr>
    </w:p>
    <w:p w14:paraId="35FC88B5" w14:textId="77777777" w:rsidR="006059E7" w:rsidRDefault="006059E7" w:rsidP="00860FCE">
      <w:pPr>
        <w:autoSpaceDE w:val="0"/>
        <w:autoSpaceDN w:val="0"/>
        <w:adjustRightInd w:val="0"/>
        <w:spacing w:after="0" w:line="240" w:lineRule="auto"/>
        <w:contextualSpacing/>
        <w:jc w:val="both"/>
        <w:rPr>
          <w:rFonts w:cstheme="minorHAnsi"/>
          <w:kern w:val="0"/>
        </w:rPr>
      </w:pPr>
    </w:p>
    <w:p w14:paraId="670A95B4" w14:textId="77777777" w:rsidR="006059E7" w:rsidRDefault="006059E7" w:rsidP="00860FCE">
      <w:pPr>
        <w:autoSpaceDE w:val="0"/>
        <w:autoSpaceDN w:val="0"/>
        <w:adjustRightInd w:val="0"/>
        <w:spacing w:after="0" w:line="240" w:lineRule="auto"/>
        <w:contextualSpacing/>
        <w:jc w:val="both"/>
        <w:rPr>
          <w:rFonts w:cstheme="minorHAnsi"/>
          <w:kern w:val="0"/>
        </w:rPr>
      </w:pPr>
    </w:p>
    <w:p w14:paraId="71163088" w14:textId="77777777" w:rsidR="006059E7" w:rsidRDefault="006059E7" w:rsidP="00860FCE">
      <w:pPr>
        <w:autoSpaceDE w:val="0"/>
        <w:autoSpaceDN w:val="0"/>
        <w:adjustRightInd w:val="0"/>
        <w:spacing w:after="0" w:line="240" w:lineRule="auto"/>
        <w:contextualSpacing/>
        <w:jc w:val="both"/>
        <w:rPr>
          <w:rFonts w:cstheme="minorHAnsi"/>
          <w:kern w:val="0"/>
        </w:rPr>
      </w:pPr>
    </w:p>
    <w:p w14:paraId="29027BCE" w14:textId="77777777" w:rsidR="006059E7" w:rsidRPr="001F3ABB" w:rsidRDefault="006059E7" w:rsidP="00860FCE">
      <w:pPr>
        <w:autoSpaceDE w:val="0"/>
        <w:autoSpaceDN w:val="0"/>
        <w:adjustRightInd w:val="0"/>
        <w:spacing w:after="0" w:line="240" w:lineRule="auto"/>
        <w:contextualSpacing/>
        <w:jc w:val="both"/>
        <w:rPr>
          <w:rFonts w:cstheme="minorHAnsi"/>
          <w:kern w:val="0"/>
        </w:rPr>
      </w:pPr>
    </w:p>
    <w:p w14:paraId="5EFABEC6" w14:textId="699B8274" w:rsidR="00BE3427" w:rsidRDefault="00BE3427" w:rsidP="00BE3427">
      <w:pPr>
        <w:pStyle w:val="Napis"/>
        <w:keepNext/>
        <w:spacing w:after="0"/>
        <w:rPr>
          <w:i w:val="0"/>
          <w:iCs w:val="0"/>
          <w:color w:val="auto"/>
          <w:sz w:val="20"/>
          <w:szCs w:val="20"/>
        </w:rPr>
      </w:pPr>
      <w:bookmarkStart w:id="133" w:name="_Toc191459963"/>
      <w:r w:rsidRPr="00BE3427">
        <w:rPr>
          <w:i w:val="0"/>
          <w:iCs w:val="0"/>
          <w:color w:val="auto"/>
          <w:sz w:val="20"/>
          <w:szCs w:val="20"/>
        </w:rPr>
        <w:lastRenderedPageBreak/>
        <w:t xml:space="preserve">Tabela </w:t>
      </w:r>
      <w:r w:rsidRPr="00BE3427">
        <w:rPr>
          <w:i w:val="0"/>
          <w:iCs w:val="0"/>
          <w:color w:val="auto"/>
          <w:sz w:val="20"/>
          <w:szCs w:val="20"/>
        </w:rPr>
        <w:fldChar w:fldCharType="begin"/>
      </w:r>
      <w:r w:rsidRPr="00BE3427">
        <w:rPr>
          <w:i w:val="0"/>
          <w:iCs w:val="0"/>
          <w:color w:val="auto"/>
          <w:sz w:val="20"/>
          <w:szCs w:val="20"/>
        </w:rPr>
        <w:instrText xml:space="preserve"> SEQ Tabela \* ARABIC </w:instrText>
      </w:r>
      <w:r w:rsidRPr="00BE3427">
        <w:rPr>
          <w:i w:val="0"/>
          <w:iCs w:val="0"/>
          <w:color w:val="auto"/>
          <w:sz w:val="20"/>
          <w:szCs w:val="20"/>
        </w:rPr>
        <w:fldChar w:fldCharType="separate"/>
      </w:r>
      <w:r w:rsidR="00784805">
        <w:rPr>
          <w:i w:val="0"/>
          <w:iCs w:val="0"/>
          <w:noProof/>
          <w:color w:val="auto"/>
          <w:sz w:val="20"/>
          <w:szCs w:val="20"/>
        </w:rPr>
        <w:t>19</w:t>
      </w:r>
      <w:r w:rsidRPr="00BE3427">
        <w:rPr>
          <w:i w:val="0"/>
          <w:iCs w:val="0"/>
          <w:color w:val="auto"/>
          <w:sz w:val="20"/>
          <w:szCs w:val="20"/>
        </w:rPr>
        <w:fldChar w:fldCharType="end"/>
      </w:r>
      <w:r w:rsidRPr="00BE3427">
        <w:rPr>
          <w:i w:val="0"/>
          <w:iCs w:val="0"/>
          <w:color w:val="auto"/>
          <w:sz w:val="20"/>
          <w:szCs w:val="20"/>
        </w:rPr>
        <w:t>: Predlog novih kazalnikov učinka na RSO 2.4 ESRR Specifični cilj</w:t>
      </w:r>
      <w:bookmarkEnd w:id="133"/>
    </w:p>
    <w:p w14:paraId="47ECBA08" w14:textId="77777777" w:rsidR="00BE3427" w:rsidRPr="00BE3427" w:rsidRDefault="00BE3427" w:rsidP="00BE3427">
      <w:pPr>
        <w:spacing w:after="0"/>
      </w:pPr>
    </w:p>
    <w:tbl>
      <w:tblPr>
        <w:tblW w:w="9214" w:type="dxa"/>
        <w:tblInd w:w="-5" w:type="dxa"/>
        <w:tblLayout w:type="fixed"/>
        <w:tblCellMar>
          <w:left w:w="70" w:type="dxa"/>
          <w:right w:w="70" w:type="dxa"/>
        </w:tblCellMar>
        <w:tblLook w:val="04A0" w:firstRow="1" w:lastRow="0" w:firstColumn="1" w:lastColumn="0" w:noHBand="0" w:noVBand="1"/>
      </w:tblPr>
      <w:tblGrid>
        <w:gridCol w:w="1134"/>
        <w:gridCol w:w="851"/>
        <w:gridCol w:w="1134"/>
        <w:gridCol w:w="1134"/>
        <w:gridCol w:w="1701"/>
        <w:gridCol w:w="850"/>
        <w:gridCol w:w="851"/>
        <w:gridCol w:w="1559"/>
      </w:tblGrid>
      <w:tr w:rsidR="00242957" w:rsidRPr="009C0499" w14:paraId="1323B981" w14:textId="77777777" w:rsidTr="00D82F16">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2364CE4A" w14:textId="1945E1BC" w:rsidR="009C0499" w:rsidRPr="000B3E1A" w:rsidRDefault="23D9C346" w:rsidP="0DE5D687">
            <w:pPr>
              <w:spacing w:after="0" w:line="240" w:lineRule="auto"/>
              <w:rPr>
                <w:rFonts w:eastAsia="Times New Roman" w:cs="Arial"/>
                <w:color w:val="000000"/>
                <w:kern w:val="0"/>
                <w:szCs w:val="20"/>
                <w:lang w:eastAsia="sl-SI"/>
                <w14:ligatures w14:val="none"/>
              </w:rPr>
            </w:pPr>
            <w:r>
              <w:rPr>
                <w:rFonts w:cstheme="minorHAnsi"/>
                <w:kern w:val="0"/>
              </w:rPr>
              <w:t>Specifični cilj</w:t>
            </w:r>
          </w:p>
        </w:tc>
        <w:tc>
          <w:tcPr>
            <w:tcW w:w="851"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6D4AC1D9" w14:textId="77777777" w:rsidR="009C0499" w:rsidRPr="000B3E1A" w:rsidRDefault="0C22821D" w:rsidP="0DE5D687">
            <w:pPr>
              <w:spacing w:after="0" w:line="240" w:lineRule="auto"/>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Sklad</w:t>
            </w:r>
          </w:p>
        </w:tc>
        <w:tc>
          <w:tcPr>
            <w:tcW w:w="1134"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67FBA148" w14:textId="77777777" w:rsidR="009C0499" w:rsidRPr="000B3E1A" w:rsidRDefault="0C22821D" w:rsidP="0DE5D687">
            <w:pPr>
              <w:spacing w:after="0" w:line="240" w:lineRule="auto"/>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Kategorija regije</w:t>
            </w:r>
          </w:p>
        </w:tc>
        <w:tc>
          <w:tcPr>
            <w:tcW w:w="1134"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3B67464F" w14:textId="77777777" w:rsidR="009C0499" w:rsidRPr="000B3E1A" w:rsidRDefault="0C22821D" w:rsidP="0DE5D687">
            <w:pPr>
              <w:spacing w:after="0" w:line="240" w:lineRule="auto"/>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Identifikator</w:t>
            </w:r>
          </w:p>
        </w:tc>
        <w:tc>
          <w:tcPr>
            <w:tcW w:w="1701" w:type="dxa"/>
            <w:tcBorders>
              <w:top w:val="single" w:sz="4" w:space="0" w:color="auto"/>
              <w:left w:val="nil"/>
              <w:bottom w:val="single" w:sz="4" w:space="0" w:color="auto"/>
              <w:right w:val="single" w:sz="4" w:space="0" w:color="auto"/>
            </w:tcBorders>
            <w:shd w:val="clear" w:color="auto" w:fill="D9E2F3" w:themeFill="accent1" w:themeFillTint="33"/>
            <w:vAlign w:val="bottom"/>
            <w:hideMark/>
          </w:tcPr>
          <w:p w14:paraId="040127E9" w14:textId="77777777" w:rsidR="009C0499" w:rsidRPr="000B3E1A" w:rsidRDefault="0C22821D" w:rsidP="0DE5D687">
            <w:pPr>
              <w:spacing w:after="0" w:line="240" w:lineRule="auto"/>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Kazalnik</w:t>
            </w:r>
          </w:p>
        </w:tc>
        <w:tc>
          <w:tcPr>
            <w:tcW w:w="85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3B64B5A4" w14:textId="77777777" w:rsidR="009C0499" w:rsidRPr="000B3E1A" w:rsidRDefault="0C22821D" w:rsidP="0DE5D687">
            <w:pPr>
              <w:spacing w:after="0" w:line="240" w:lineRule="auto"/>
              <w:rPr>
                <w:rFonts w:eastAsia="Times New Roman" w:cs="Arial"/>
                <w:color w:val="000000"/>
                <w:kern w:val="0"/>
                <w:szCs w:val="20"/>
                <w:lang w:eastAsia="sl-SI"/>
                <w14:ligatures w14:val="none"/>
              </w:rPr>
            </w:pPr>
            <w:r w:rsidRPr="00707F21">
              <w:rPr>
                <w:rFonts w:eastAsia="Times New Roman" w:cs="Arial"/>
                <w:color w:val="000000"/>
                <w:kern w:val="0"/>
                <w:szCs w:val="20"/>
                <w:lang w:eastAsia="sl-SI"/>
                <w14:ligatures w14:val="none"/>
              </w:rPr>
              <w:t>Merska</w:t>
            </w:r>
            <w:r w:rsidRPr="0DE5D687">
              <w:rPr>
                <w:rFonts w:eastAsia="Times New Roman" w:cs="Arial"/>
                <w:color w:val="000000"/>
                <w:kern w:val="0"/>
                <w:lang w:eastAsia="sl-SI"/>
                <w14:ligatures w14:val="none"/>
              </w:rPr>
              <w:t xml:space="preserve"> enota</w:t>
            </w:r>
          </w:p>
        </w:tc>
        <w:tc>
          <w:tcPr>
            <w:tcW w:w="851"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21991D8F" w14:textId="77777777" w:rsidR="009C0499" w:rsidRPr="000B3E1A" w:rsidRDefault="0C22821D" w:rsidP="0DE5D687">
            <w:pPr>
              <w:spacing w:after="0" w:line="240" w:lineRule="auto"/>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Mejnik (2024)</w:t>
            </w:r>
          </w:p>
        </w:tc>
        <w:tc>
          <w:tcPr>
            <w:tcW w:w="1559"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0A0FCDA5" w14:textId="77777777" w:rsidR="009C0499" w:rsidRPr="000B3E1A" w:rsidRDefault="0C22821D" w:rsidP="0DE5D687">
            <w:pPr>
              <w:spacing w:after="0" w:line="240" w:lineRule="auto"/>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Cilj (2029)</w:t>
            </w:r>
          </w:p>
        </w:tc>
      </w:tr>
      <w:tr w:rsidR="00242957" w:rsidRPr="009C0499" w14:paraId="6FD5F14C" w14:textId="77777777" w:rsidTr="00D82F16">
        <w:trPr>
          <w:trHeight w:val="15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A8D3E12" w14:textId="77777777" w:rsidR="009C0499" w:rsidRPr="000B3E1A" w:rsidRDefault="0C22821D" w:rsidP="0DE5D687">
            <w:pPr>
              <w:spacing w:after="0" w:line="240" w:lineRule="auto"/>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RSO2.4</w:t>
            </w:r>
          </w:p>
        </w:tc>
        <w:tc>
          <w:tcPr>
            <w:tcW w:w="851" w:type="dxa"/>
            <w:tcBorders>
              <w:top w:val="nil"/>
              <w:left w:val="nil"/>
              <w:bottom w:val="single" w:sz="4" w:space="0" w:color="auto"/>
              <w:right w:val="single" w:sz="4" w:space="0" w:color="auto"/>
            </w:tcBorders>
            <w:shd w:val="clear" w:color="auto" w:fill="auto"/>
            <w:noWrap/>
            <w:vAlign w:val="bottom"/>
            <w:hideMark/>
          </w:tcPr>
          <w:p w14:paraId="6792F707" w14:textId="77777777" w:rsidR="009C0499" w:rsidRPr="000B3E1A" w:rsidRDefault="0C22821D" w:rsidP="0DE5D687">
            <w:pPr>
              <w:spacing w:after="0" w:line="240" w:lineRule="auto"/>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ESRR</w:t>
            </w:r>
          </w:p>
        </w:tc>
        <w:tc>
          <w:tcPr>
            <w:tcW w:w="1134" w:type="dxa"/>
            <w:tcBorders>
              <w:top w:val="nil"/>
              <w:left w:val="nil"/>
              <w:bottom w:val="single" w:sz="4" w:space="0" w:color="auto"/>
              <w:right w:val="single" w:sz="4" w:space="0" w:color="auto"/>
            </w:tcBorders>
            <w:shd w:val="clear" w:color="auto" w:fill="auto"/>
            <w:noWrap/>
            <w:vAlign w:val="bottom"/>
            <w:hideMark/>
          </w:tcPr>
          <w:p w14:paraId="0C1BB41E" w14:textId="01803FE0" w:rsidR="009C0499" w:rsidRPr="000B3E1A" w:rsidRDefault="035A0E4B" w:rsidP="0DE5D687">
            <w:pPr>
              <w:spacing w:after="0" w:line="240" w:lineRule="auto"/>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Bolj razvite regije</w:t>
            </w:r>
          </w:p>
        </w:tc>
        <w:tc>
          <w:tcPr>
            <w:tcW w:w="1134" w:type="dxa"/>
            <w:tcBorders>
              <w:top w:val="nil"/>
              <w:left w:val="nil"/>
              <w:bottom w:val="single" w:sz="4" w:space="0" w:color="auto"/>
              <w:right w:val="single" w:sz="4" w:space="0" w:color="auto"/>
            </w:tcBorders>
            <w:shd w:val="clear" w:color="auto" w:fill="auto"/>
            <w:noWrap/>
            <w:vAlign w:val="bottom"/>
            <w:hideMark/>
          </w:tcPr>
          <w:p w14:paraId="1DD99DF2" w14:textId="77777777" w:rsidR="009C0499" w:rsidRPr="000B3E1A" w:rsidRDefault="0C22821D" w:rsidP="0DE5D687">
            <w:pPr>
              <w:spacing w:after="0" w:line="240" w:lineRule="auto"/>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RCO24</w:t>
            </w:r>
          </w:p>
        </w:tc>
        <w:tc>
          <w:tcPr>
            <w:tcW w:w="1701" w:type="dxa"/>
            <w:tcBorders>
              <w:top w:val="nil"/>
              <w:left w:val="nil"/>
              <w:bottom w:val="single" w:sz="4" w:space="0" w:color="auto"/>
              <w:right w:val="single" w:sz="4" w:space="0" w:color="auto"/>
            </w:tcBorders>
            <w:shd w:val="clear" w:color="auto" w:fill="auto"/>
            <w:vAlign w:val="bottom"/>
            <w:hideMark/>
          </w:tcPr>
          <w:p w14:paraId="408D057C" w14:textId="77777777" w:rsidR="009C0499" w:rsidRPr="000B3E1A" w:rsidRDefault="0C22821D" w:rsidP="0DE5D687">
            <w:pPr>
              <w:spacing w:after="0" w:line="240" w:lineRule="auto"/>
              <w:jc w:val="both"/>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Naložbe v nove ali nadgrajene sisteme za spremljanje nesreč ter za pripravljenost, opozarjanje in odzivanje na naravne nesreče</w:t>
            </w:r>
          </w:p>
        </w:tc>
        <w:tc>
          <w:tcPr>
            <w:tcW w:w="850" w:type="dxa"/>
            <w:tcBorders>
              <w:top w:val="nil"/>
              <w:left w:val="nil"/>
              <w:bottom w:val="single" w:sz="4" w:space="0" w:color="auto"/>
              <w:right w:val="single" w:sz="4" w:space="0" w:color="auto"/>
            </w:tcBorders>
            <w:shd w:val="clear" w:color="auto" w:fill="auto"/>
            <w:noWrap/>
            <w:vAlign w:val="bottom"/>
            <w:hideMark/>
          </w:tcPr>
          <w:p w14:paraId="7D184534" w14:textId="77777777" w:rsidR="009C0499" w:rsidRPr="000B3E1A" w:rsidRDefault="0C22821D" w:rsidP="0DE5D687">
            <w:pPr>
              <w:spacing w:after="0" w:line="240" w:lineRule="auto"/>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euro</w:t>
            </w:r>
          </w:p>
        </w:tc>
        <w:tc>
          <w:tcPr>
            <w:tcW w:w="851" w:type="dxa"/>
            <w:tcBorders>
              <w:top w:val="nil"/>
              <w:left w:val="nil"/>
              <w:bottom w:val="single" w:sz="4" w:space="0" w:color="auto"/>
              <w:right w:val="single" w:sz="4" w:space="0" w:color="auto"/>
            </w:tcBorders>
            <w:shd w:val="clear" w:color="auto" w:fill="auto"/>
            <w:noWrap/>
            <w:vAlign w:val="bottom"/>
            <w:hideMark/>
          </w:tcPr>
          <w:p w14:paraId="2723CFF5" w14:textId="77777777" w:rsidR="009C0499" w:rsidRPr="000B3E1A" w:rsidRDefault="0C22821D" w:rsidP="0DE5D687">
            <w:pPr>
              <w:spacing w:after="0" w:line="240" w:lineRule="auto"/>
              <w:jc w:val="right"/>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23EDAB6B" w14:textId="77777777" w:rsidR="009C0499" w:rsidRPr="000B3E1A" w:rsidRDefault="0C22821D" w:rsidP="0DE5D687">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13.306.048,00</w:t>
            </w:r>
          </w:p>
        </w:tc>
      </w:tr>
      <w:tr w:rsidR="00242957" w:rsidRPr="009C0499" w14:paraId="46A27599" w14:textId="77777777" w:rsidTr="00D82F16">
        <w:trPr>
          <w:trHeight w:val="15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D96F11C" w14:textId="77777777" w:rsidR="009C0499" w:rsidRPr="000B3E1A" w:rsidRDefault="0C22821D" w:rsidP="0DE5D687">
            <w:pPr>
              <w:spacing w:after="0" w:line="240" w:lineRule="auto"/>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RSO2.4</w:t>
            </w:r>
          </w:p>
        </w:tc>
        <w:tc>
          <w:tcPr>
            <w:tcW w:w="851" w:type="dxa"/>
            <w:tcBorders>
              <w:top w:val="nil"/>
              <w:left w:val="nil"/>
              <w:bottom w:val="single" w:sz="4" w:space="0" w:color="auto"/>
              <w:right w:val="single" w:sz="4" w:space="0" w:color="auto"/>
            </w:tcBorders>
            <w:shd w:val="clear" w:color="auto" w:fill="auto"/>
            <w:noWrap/>
            <w:vAlign w:val="bottom"/>
            <w:hideMark/>
          </w:tcPr>
          <w:p w14:paraId="22ACACCB" w14:textId="77777777" w:rsidR="009C0499" w:rsidRPr="000B3E1A" w:rsidRDefault="0C22821D" w:rsidP="0DE5D687">
            <w:pPr>
              <w:spacing w:after="0" w:line="240" w:lineRule="auto"/>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ESRR</w:t>
            </w:r>
          </w:p>
        </w:tc>
        <w:tc>
          <w:tcPr>
            <w:tcW w:w="1134" w:type="dxa"/>
            <w:tcBorders>
              <w:top w:val="nil"/>
              <w:left w:val="nil"/>
              <w:bottom w:val="single" w:sz="4" w:space="0" w:color="auto"/>
              <w:right w:val="single" w:sz="4" w:space="0" w:color="auto"/>
            </w:tcBorders>
            <w:shd w:val="clear" w:color="auto" w:fill="auto"/>
            <w:noWrap/>
            <w:vAlign w:val="bottom"/>
            <w:hideMark/>
          </w:tcPr>
          <w:p w14:paraId="556DB7B2" w14:textId="074868A6" w:rsidR="009C0499" w:rsidRPr="000B3E1A" w:rsidRDefault="035A0E4B" w:rsidP="0DE5D687">
            <w:pPr>
              <w:spacing w:after="0" w:line="240" w:lineRule="auto"/>
              <w:rPr>
                <w:rFonts w:eastAsia="Times New Roman" w:cs="Arial"/>
                <w:color w:val="000000"/>
                <w:kern w:val="0"/>
                <w:szCs w:val="20"/>
                <w:lang w:eastAsia="sl-SI"/>
                <w14:ligatures w14:val="none"/>
              </w:rPr>
            </w:pPr>
            <w:r>
              <w:rPr>
                <w:rFonts w:eastAsia="Times New Roman" w:cs="Arial"/>
                <w:color w:val="000000"/>
                <w:kern w:val="0"/>
                <w:szCs w:val="20"/>
                <w:lang w:eastAsia="sl-SI"/>
                <w14:ligatures w14:val="none"/>
              </w:rPr>
              <w:t>Manj razvite regije</w:t>
            </w:r>
          </w:p>
        </w:tc>
        <w:tc>
          <w:tcPr>
            <w:tcW w:w="1134" w:type="dxa"/>
            <w:tcBorders>
              <w:top w:val="nil"/>
              <w:left w:val="nil"/>
              <w:bottom w:val="single" w:sz="4" w:space="0" w:color="auto"/>
              <w:right w:val="single" w:sz="4" w:space="0" w:color="auto"/>
            </w:tcBorders>
            <w:shd w:val="clear" w:color="auto" w:fill="auto"/>
            <w:noWrap/>
            <w:vAlign w:val="bottom"/>
            <w:hideMark/>
          </w:tcPr>
          <w:p w14:paraId="6D2CFA3C" w14:textId="77777777" w:rsidR="009C0499" w:rsidRPr="000B3E1A" w:rsidRDefault="0C22821D" w:rsidP="0DE5D687">
            <w:pPr>
              <w:spacing w:after="0" w:line="240" w:lineRule="auto"/>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RCO24</w:t>
            </w:r>
          </w:p>
        </w:tc>
        <w:tc>
          <w:tcPr>
            <w:tcW w:w="1701" w:type="dxa"/>
            <w:tcBorders>
              <w:top w:val="nil"/>
              <w:left w:val="nil"/>
              <w:bottom w:val="single" w:sz="4" w:space="0" w:color="auto"/>
              <w:right w:val="single" w:sz="4" w:space="0" w:color="auto"/>
            </w:tcBorders>
            <w:shd w:val="clear" w:color="auto" w:fill="auto"/>
            <w:vAlign w:val="bottom"/>
            <w:hideMark/>
          </w:tcPr>
          <w:p w14:paraId="7188B014" w14:textId="77777777" w:rsidR="009C0499" w:rsidRPr="000B3E1A" w:rsidRDefault="0C22821D" w:rsidP="0DE5D687">
            <w:pPr>
              <w:spacing w:after="0" w:line="240" w:lineRule="auto"/>
              <w:jc w:val="both"/>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Naložbe v nove ali nadgrajene sisteme za spremljanje nesreč ter za pripravljenost, opozarjanje in odzivanje na naravne nesreče</w:t>
            </w:r>
          </w:p>
        </w:tc>
        <w:tc>
          <w:tcPr>
            <w:tcW w:w="850" w:type="dxa"/>
            <w:tcBorders>
              <w:top w:val="nil"/>
              <w:left w:val="nil"/>
              <w:bottom w:val="single" w:sz="4" w:space="0" w:color="auto"/>
              <w:right w:val="single" w:sz="4" w:space="0" w:color="auto"/>
            </w:tcBorders>
            <w:shd w:val="clear" w:color="auto" w:fill="auto"/>
            <w:noWrap/>
            <w:vAlign w:val="bottom"/>
            <w:hideMark/>
          </w:tcPr>
          <w:p w14:paraId="23D7D8D7" w14:textId="77777777" w:rsidR="009C0499" w:rsidRPr="000B3E1A" w:rsidRDefault="0C22821D" w:rsidP="0DE5D687">
            <w:pPr>
              <w:spacing w:after="0" w:line="240" w:lineRule="auto"/>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euro</w:t>
            </w:r>
          </w:p>
        </w:tc>
        <w:tc>
          <w:tcPr>
            <w:tcW w:w="851" w:type="dxa"/>
            <w:tcBorders>
              <w:top w:val="nil"/>
              <w:left w:val="nil"/>
              <w:bottom w:val="single" w:sz="4" w:space="0" w:color="auto"/>
              <w:right w:val="single" w:sz="4" w:space="0" w:color="auto"/>
            </w:tcBorders>
            <w:shd w:val="clear" w:color="auto" w:fill="auto"/>
            <w:noWrap/>
            <w:vAlign w:val="bottom"/>
            <w:hideMark/>
          </w:tcPr>
          <w:p w14:paraId="2AA68766" w14:textId="77777777" w:rsidR="009C0499" w:rsidRPr="000B3E1A" w:rsidRDefault="0C22821D" w:rsidP="0DE5D687">
            <w:pPr>
              <w:spacing w:after="0" w:line="240" w:lineRule="auto"/>
              <w:jc w:val="right"/>
              <w:rPr>
                <w:rFonts w:eastAsia="Times New Roman" w:cs="Arial"/>
                <w:color w:val="000000"/>
                <w:kern w:val="0"/>
                <w:szCs w:val="20"/>
                <w:lang w:eastAsia="sl-SI"/>
                <w14:ligatures w14:val="none"/>
              </w:rPr>
            </w:pPr>
            <w:r w:rsidRPr="0DE5D687">
              <w:rPr>
                <w:rFonts w:eastAsia="Times New Roman" w:cs="Arial"/>
                <w:color w:val="000000"/>
                <w:kern w:val="0"/>
                <w:lang w:eastAsia="sl-SI"/>
                <w14:ligatures w14:val="none"/>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51A51EFB" w14:textId="77777777" w:rsidR="009C0499" w:rsidRPr="000B3E1A" w:rsidRDefault="0C22821D" w:rsidP="0DE5D687">
            <w:pPr>
              <w:spacing w:after="0" w:line="240" w:lineRule="auto"/>
              <w:jc w:val="right"/>
              <w:rPr>
                <w:rFonts w:eastAsia="Times New Roman" w:cs="Arial"/>
                <w:color w:val="000000"/>
                <w:kern w:val="0"/>
                <w:szCs w:val="20"/>
                <w:lang w:eastAsia="sl-SI"/>
                <w14:ligatures w14:val="none"/>
              </w:rPr>
            </w:pPr>
            <w:r w:rsidRPr="000B3E1A">
              <w:rPr>
                <w:rFonts w:eastAsia="Times New Roman" w:cs="Arial"/>
                <w:color w:val="000000"/>
                <w:kern w:val="0"/>
                <w:szCs w:val="20"/>
                <w:lang w:eastAsia="sl-SI"/>
                <w14:ligatures w14:val="none"/>
              </w:rPr>
              <w:t>5.000.000,00</w:t>
            </w:r>
          </w:p>
        </w:tc>
      </w:tr>
    </w:tbl>
    <w:p w14:paraId="3117832B" w14:textId="77777777" w:rsidR="002D2511" w:rsidRPr="002E1975" w:rsidRDefault="002D2511" w:rsidP="002E1975">
      <w:pPr>
        <w:autoSpaceDE w:val="0"/>
        <w:autoSpaceDN w:val="0"/>
        <w:adjustRightInd w:val="0"/>
        <w:spacing w:after="0" w:line="240" w:lineRule="auto"/>
        <w:jc w:val="both"/>
        <w:rPr>
          <w:rFonts w:cstheme="minorHAnsi"/>
          <w:kern w:val="0"/>
        </w:rPr>
      </w:pPr>
    </w:p>
    <w:p w14:paraId="74717BFD" w14:textId="477BCE45" w:rsidR="002E1975" w:rsidRPr="00042CC5" w:rsidRDefault="002E1975" w:rsidP="00446D40">
      <w:pPr>
        <w:pStyle w:val="Naslov3"/>
        <w:numPr>
          <w:ilvl w:val="2"/>
          <w:numId w:val="2"/>
        </w:numPr>
        <w:spacing w:before="0"/>
        <w:rPr>
          <w:color w:val="4472C4" w:themeColor="accent1"/>
        </w:rPr>
      </w:pPr>
      <w:bookmarkStart w:id="134" w:name="_Toc187154472"/>
      <w:bookmarkStart w:id="135" w:name="_Toc191383868"/>
      <w:r w:rsidRPr="00042CC5">
        <w:rPr>
          <w:color w:val="4472C4" w:themeColor="accent1"/>
        </w:rPr>
        <w:t>RSO 2.5</w:t>
      </w:r>
      <w:bookmarkEnd w:id="134"/>
      <w:bookmarkEnd w:id="135"/>
    </w:p>
    <w:p w14:paraId="40AE827C" w14:textId="77777777" w:rsidR="002E1975" w:rsidRPr="002E1975" w:rsidRDefault="002E1975" w:rsidP="002E1975">
      <w:pPr>
        <w:autoSpaceDE w:val="0"/>
        <w:autoSpaceDN w:val="0"/>
        <w:adjustRightInd w:val="0"/>
        <w:spacing w:after="0" w:line="240" w:lineRule="auto"/>
        <w:jc w:val="both"/>
        <w:rPr>
          <w:rFonts w:cstheme="minorHAnsi"/>
          <w:kern w:val="0"/>
        </w:rPr>
      </w:pPr>
    </w:p>
    <w:p w14:paraId="01D0A658" w14:textId="209F6EFE" w:rsidR="002E1975" w:rsidRDefault="002E1975" w:rsidP="00446D40">
      <w:pPr>
        <w:numPr>
          <w:ilvl w:val="0"/>
          <w:numId w:val="16"/>
        </w:numPr>
        <w:autoSpaceDE w:val="0"/>
        <w:autoSpaceDN w:val="0"/>
        <w:adjustRightInd w:val="0"/>
        <w:spacing w:after="0" w:line="240" w:lineRule="auto"/>
        <w:contextualSpacing/>
        <w:jc w:val="both"/>
        <w:rPr>
          <w:rFonts w:cstheme="minorHAnsi"/>
          <w:kern w:val="0"/>
        </w:rPr>
      </w:pPr>
      <w:r w:rsidRPr="002D2511">
        <w:rPr>
          <w:rFonts w:cstheme="minorHAnsi"/>
          <w:b/>
          <w:bCs/>
          <w:kern w:val="0"/>
          <w:u w:val="single"/>
        </w:rPr>
        <w:t xml:space="preserve">Ukrep </w:t>
      </w:r>
      <w:r w:rsidR="00270933">
        <w:rPr>
          <w:rFonts w:cstheme="minorHAnsi"/>
          <w:b/>
          <w:bCs/>
          <w:kern w:val="0"/>
          <w:u w:val="single"/>
        </w:rPr>
        <w:t>»O</w:t>
      </w:r>
      <w:r w:rsidRPr="002D2511">
        <w:rPr>
          <w:rFonts w:cstheme="minorHAnsi"/>
          <w:b/>
          <w:bCs/>
          <w:kern w:val="0"/>
          <w:u w:val="single"/>
        </w:rPr>
        <w:t>dprava neskladij v aglomeracijah s skupno obremenitvijo, enako ali večjo od 2.000 PE v skladu z Direktivo o čiščenju komunalne odpadne vode (91/271/EGS) za področje odvajanja in čiščenja odpadnih voda</w:t>
      </w:r>
      <w:r w:rsidR="00270933">
        <w:rPr>
          <w:rFonts w:cstheme="minorHAnsi"/>
          <w:b/>
          <w:bCs/>
          <w:kern w:val="0"/>
          <w:u w:val="single"/>
        </w:rPr>
        <w:t>«</w:t>
      </w:r>
      <w:r w:rsidRPr="00C13D02">
        <w:rPr>
          <w:rFonts w:cstheme="minorHAnsi"/>
          <w:kern w:val="0"/>
        </w:rPr>
        <w:t>:</w:t>
      </w:r>
    </w:p>
    <w:p w14:paraId="17CA8451" w14:textId="77777777" w:rsidR="002D2511" w:rsidRPr="00C13D02" w:rsidRDefault="002D2511" w:rsidP="002D2511">
      <w:pPr>
        <w:autoSpaceDE w:val="0"/>
        <w:autoSpaceDN w:val="0"/>
        <w:adjustRightInd w:val="0"/>
        <w:spacing w:after="0" w:line="240" w:lineRule="auto"/>
        <w:ind w:left="360"/>
        <w:contextualSpacing/>
        <w:jc w:val="both"/>
        <w:rPr>
          <w:rFonts w:cstheme="minorHAnsi"/>
          <w:kern w:val="0"/>
        </w:rPr>
      </w:pPr>
    </w:p>
    <w:p w14:paraId="0854D442" w14:textId="1F11B8B5" w:rsidR="00860FCE" w:rsidRPr="00392D22" w:rsidRDefault="7934BF02" w:rsidP="00233962">
      <w:pPr>
        <w:numPr>
          <w:ilvl w:val="0"/>
          <w:numId w:val="8"/>
        </w:numPr>
        <w:autoSpaceDE w:val="0"/>
        <w:autoSpaceDN w:val="0"/>
        <w:adjustRightInd w:val="0"/>
        <w:spacing w:after="0" w:line="240" w:lineRule="auto"/>
        <w:contextualSpacing/>
        <w:jc w:val="both"/>
      </w:pPr>
      <w:r w:rsidRPr="3F3C0871">
        <w:rPr>
          <w:kern w:val="0"/>
        </w:rPr>
        <w:t>P</w:t>
      </w:r>
      <w:r w:rsidR="59827183" w:rsidRPr="3F3C0871">
        <w:rPr>
          <w:kern w:val="0"/>
        </w:rPr>
        <w:t>oglavj</w:t>
      </w:r>
      <w:r w:rsidRPr="3F3C0871">
        <w:rPr>
          <w:kern w:val="0"/>
        </w:rPr>
        <w:t>e</w:t>
      </w:r>
      <w:r w:rsidR="59827183" w:rsidRPr="3F3C0871">
        <w:rPr>
          <w:kern w:val="0"/>
        </w:rPr>
        <w:t xml:space="preserve"> 2.1.1.1. Specifični cilj: RSO2.5. Spodbujanje dostopa do vode in trajnostnega gospodarjenja z vodnimi viri (ESRR</w:t>
      </w:r>
      <w:r w:rsidRPr="3F3C0871">
        <w:rPr>
          <w:kern w:val="0"/>
        </w:rPr>
        <w:t xml:space="preserve"> Zahod</w:t>
      </w:r>
      <w:r w:rsidR="59827183" w:rsidRPr="3F3C0871">
        <w:rPr>
          <w:kern w:val="0"/>
        </w:rPr>
        <w:t>)</w:t>
      </w:r>
      <w:r w:rsidRPr="3F3C0871">
        <w:rPr>
          <w:kern w:val="0"/>
        </w:rPr>
        <w:t xml:space="preserve"> se</w:t>
      </w:r>
      <w:r w:rsidR="59827183" w:rsidRPr="3F3C0871">
        <w:rPr>
          <w:kern w:val="0"/>
        </w:rPr>
        <w:t xml:space="preserve"> v besedilu PEKP 2021–2027</w:t>
      </w:r>
      <w:r w:rsidRPr="3F3C0871">
        <w:rPr>
          <w:kern w:val="0"/>
        </w:rPr>
        <w:t xml:space="preserve"> briše. Sredstva so bila v PEKP namenjena sofinanciranju komunalne infrastrukture (preko mehanizma DRR). Tak pristop bi bil za občine kohezijske regije</w:t>
      </w:r>
      <w:r w:rsidR="0CAE2AA9" w:rsidRPr="3F3C0871">
        <w:rPr>
          <w:kern w:val="0"/>
        </w:rPr>
        <w:t xml:space="preserve"> Zahodna Slovenija</w:t>
      </w:r>
      <w:r w:rsidRPr="3F3C0871">
        <w:rPr>
          <w:kern w:val="0"/>
        </w:rPr>
        <w:t xml:space="preserve"> </w:t>
      </w:r>
      <w:proofErr w:type="spellStart"/>
      <w:r w:rsidRPr="3F3C0871">
        <w:rPr>
          <w:kern w:val="0"/>
        </w:rPr>
        <w:t>diskriminator</w:t>
      </w:r>
      <w:r w:rsidR="035A0E4B" w:rsidRPr="3F3C0871">
        <w:rPr>
          <w:kern w:val="0"/>
        </w:rPr>
        <w:t>e</w:t>
      </w:r>
      <w:r w:rsidRPr="3F3C0871">
        <w:rPr>
          <w:kern w:val="0"/>
        </w:rPr>
        <w:t>n</w:t>
      </w:r>
      <w:proofErr w:type="spellEnd"/>
      <w:r w:rsidRPr="3F3C0871">
        <w:rPr>
          <w:kern w:val="0"/>
        </w:rPr>
        <w:t xml:space="preserve">, saj je stopnja </w:t>
      </w:r>
      <w:r w:rsidR="18ABC0DD" w:rsidRPr="3F3C0871">
        <w:rPr>
          <w:kern w:val="0"/>
        </w:rPr>
        <w:t xml:space="preserve">EU </w:t>
      </w:r>
      <w:r w:rsidRPr="3F3C0871">
        <w:rPr>
          <w:kern w:val="0"/>
        </w:rPr>
        <w:t>sofinanciranja v primeru ESRR</w:t>
      </w:r>
      <w:r w:rsidR="42630443" w:rsidRPr="3F3C0871">
        <w:rPr>
          <w:kern w:val="0"/>
        </w:rPr>
        <w:t xml:space="preserve"> </w:t>
      </w:r>
      <w:r w:rsidR="42630443">
        <w:t>Zahod</w:t>
      </w:r>
      <w:r w:rsidRPr="3F3C0871">
        <w:rPr>
          <w:kern w:val="0"/>
        </w:rPr>
        <w:t xml:space="preserve"> 40</w:t>
      </w:r>
      <w:r w:rsidR="1A95775A" w:rsidRPr="3F3C0871">
        <w:rPr>
          <w:kern w:val="0"/>
        </w:rPr>
        <w:t xml:space="preserve"> </w:t>
      </w:r>
      <w:r w:rsidRPr="3F3C0871">
        <w:rPr>
          <w:kern w:val="0"/>
        </w:rPr>
        <w:t>%, medtem ko je KS 85</w:t>
      </w:r>
      <w:r w:rsidR="1A95775A" w:rsidRPr="3F3C0871">
        <w:rPr>
          <w:kern w:val="0"/>
        </w:rPr>
        <w:t xml:space="preserve"> </w:t>
      </w:r>
      <w:r w:rsidRPr="3F3C0871">
        <w:rPr>
          <w:kern w:val="0"/>
        </w:rPr>
        <w:t xml:space="preserve">%. </w:t>
      </w:r>
    </w:p>
    <w:p w14:paraId="53F96BDA" w14:textId="5F5860DF" w:rsidR="3F3C0871" w:rsidRDefault="3F3C0871" w:rsidP="3F3C0871">
      <w:pPr>
        <w:spacing w:after="0" w:line="240" w:lineRule="auto"/>
        <w:ind w:left="720"/>
        <w:contextualSpacing/>
        <w:jc w:val="both"/>
      </w:pPr>
    </w:p>
    <w:p w14:paraId="2B9BECC3" w14:textId="323557DD" w:rsidR="004104C6" w:rsidRPr="00F67098" w:rsidRDefault="004104C6" w:rsidP="004104C6">
      <w:pPr>
        <w:pStyle w:val="Napis"/>
        <w:keepNext/>
        <w:spacing w:after="0"/>
        <w:rPr>
          <w:i w:val="0"/>
          <w:iCs w:val="0"/>
          <w:color w:val="auto"/>
          <w:sz w:val="20"/>
          <w:szCs w:val="20"/>
        </w:rPr>
      </w:pPr>
      <w:bookmarkStart w:id="136" w:name="_Toc191459964"/>
      <w:r w:rsidRPr="00F67098">
        <w:rPr>
          <w:i w:val="0"/>
          <w:iCs w:val="0"/>
          <w:color w:val="auto"/>
          <w:sz w:val="20"/>
          <w:szCs w:val="20"/>
        </w:rPr>
        <w:t xml:space="preserve">Tabela </w:t>
      </w:r>
      <w:r w:rsidRPr="00F67098">
        <w:rPr>
          <w:i w:val="0"/>
          <w:iCs w:val="0"/>
          <w:color w:val="auto"/>
          <w:sz w:val="20"/>
          <w:szCs w:val="20"/>
        </w:rPr>
        <w:fldChar w:fldCharType="begin"/>
      </w:r>
      <w:r w:rsidRPr="00F67098">
        <w:rPr>
          <w:i w:val="0"/>
          <w:iCs w:val="0"/>
          <w:color w:val="auto"/>
          <w:sz w:val="20"/>
          <w:szCs w:val="20"/>
        </w:rPr>
        <w:instrText xml:space="preserve"> SEQ Tabela \* ARABIC </w:instrText>
      </w:r>
      <w:r w:rsidRPr="00F67098">
        <w:rPr>
          <w:i w:val="0"/>
          <w:iCs w:val="0"/>
          <w:color w:val="auto"/>
          <w:sz w:val="20"/>
          <w:szCs w:val="20"/>
        </w:rPr>
        <w:fldChar w:fldCharType="separate"/>
      </w:r>
      <w:r w:rsidR="00784805">
        <w:rPr>
          <w:i w:val="0"/>
          <w:iCs w:val="0"/>
          <w:noProof/>
          <w:color w:val="auto"/>
          <w:sz w:val="20"/>
          <w:szCs w:val="20"/>
        </w:rPr>
        <w:t>20</w:t>
      </w:r>
      <w:r w:rsidRPr="00F67098">
        <w:rPr>
          <w:i w:val="0"/>
          <w:iCs w:val="0"/>
          <w:color w:val="auto"/>
          <w:sz w:val="20"/>
          <w:szCs w:val="20"/>
        </w:rPr>
        <w:fldChar w:fldCharType="end"/>
      </w:r>
      <w:r w:rsidRPr="00F67098">
        <w:rPr>
          <w:i w:val="0"/>
          <w:iCs w:val="0"/>
          <w:color w:val="auto"/>
          <w:sz w:val="20"/>
          <w:szCs w:val="20"/>
        </w:rPr>
        <w:t>: Predlog spremembe kazalnikov učinka</w:t>
      </w:r>
      <w:bookmarkEnd w:id="136"/>
    </w:p>
    <w:p w14:paraId="10B9F2A8" w14:textId="77777777" w:rsidR="004104C6" w:rsidRPr="004104C6" w:rsidRDefault="004104C6" w:rsidP="004104C6">
      <w:pPr>
        <w:spacing w:after="0"/>
      </w:pPr>
    </w:p>
    <w:tbl>
      <w:tblPr>
        <w:tblW w:w="9498" w:type="dxa"/>
        <w:tblInd w:w="-5" w:type="dxa"/>
        <w:tblLayout w:type="fixed"/>
        <w:tblCellMar>
          <w:left w:w="70" w:type="dxa"/>
          <w:right w:w="70" w:type="dxa"/>
        </w:tblCellMar>
        <w:tblLook w:val="04A0" w:firstRow="1" w:lastRow="0" w:firstColumn="1" w:lastColumn="0" w:noHBand="0" w:noVBand="1"/>
      </w:tblPr>
      <w:tblGrid>
        <w:gridCol w:w="560"/>
        <w:gridCol w:w="996"/>
        <w:gridCol w:w="696"/>
        <w:gridCol w:w="1041"/>
        <w:gridCol w:w="1174"/>
        <w:gridCol w:w="1186"/>
        <w:gridCol w:w="1174"/>
        <w:gridCol w:w="719"/>
        <w:gridCol w:w="1030"/>
        <w:gridCol w:w="922"/>
      </w:tblGrid>
      <w:tr w:rsidR="00242957" w:rsidRPr="00D82F16" w14:paraId="4FBA6EB7" w14:textId="77777777" w:rsidTr="009E5A3A">
        <w:trPr>
          <w:trHeight w:val="510"/>
        </w:trPr>
        <w:tc>
          <w:tcPr>
            <w:tcW w:w="5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767507D" w14:textId="25743F2F" w:rsidR="00237A0F" w:rsidRPr="00D82F16" w:rsidRDefault="00237A0F" w:rsidP="00237A0F">
            <w:pPr>
              <w:spacing w:after="0" w:line="240" w:lineRule="auto"/>
              <w:jc w:val="center"/>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PN</w:t>
            </w:r>
          </w:p>
        </w:tc>
        <w:tc>
          <w:tcPr>
            <w:tcW w:w="996"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18781BB" w14:textId="77777777" w:rsidR="00237A0F" w:rsidRPr="00D82F16" w:rsidRDefault="00237A0F" w:rsidP="00237A0F">
            <w:pPr>
              <w:spacing w:after="0" w:line="240" w:lineRule="auto"/>
              <w:jc w:val="center"/>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Specifični cilj</w:t>
            </w:r>
          </w:p>
        </w:tc>
        <w:tc>
          <w:tcPr>
            <w:tcW w:w="696"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688D738" w14:textId="77777777" w:rsidR="00237A0F" w:rsidRPr="00D82F16" w:rsidRDefault="00237A0F" w:rsidP="00237A0F">
            <w:pPr>
              <w:spacing w:after="0" w:line="240" w:lineRule="auto"/>
              <w:jc w:val="center"/>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Sklad</w:t>
            </w:r>
          </w:p>
        </w:tc>
        <w:tc>
          <w:tcPr>
            <w:tcW w:w="1041"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AB57BF2" w14:textId="77777777" w:rsidR="00237A0F" w:rsidRPr="00D82F16" w:rsidRDefault="00237A0F" w:rsidP="00237A0F">
            <w:pPr>
              <w:spacing w:after="0" w:line="240" w:lineRule="auto"/>
              <w:jc w:val="center"/>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Kategorija regije</w:t>
            </w:r>
          </w:p>
        </w:tc>
        <w:tc>
          <w:tcPr>
            <w:tcW w:w="1174"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1F60F5D1" w14:textId="77777777" w:rsidR="00237A0F" w:rsidRPr="00D82F16" w:rsidRDefault="00237A0F" w:rsidP="00237A0F">
            <w:pPr>
              <w:spacing w:after="0" w:line="240" w:lineRule="auto"/>
              <w:jc w:val="center"/>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Identifikator</w:t>
            </w:r>
          </w:p>
        </w:tc>
        <w:tc>
          <w:tcPr>
            <w:tcW w:w="1186"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65C312FD" w14:textId="77777777" w:rsidR="00237A0F" w:rsidRPr="00D82F16" w:rsidRDefault="00237A0F" w:rsidP="00237A0F">
            <w:pPr>
              <w:spacing w:after="0" w:line="240" w:lineRule="auto"/>
              <w:jc w:val="center"/>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Kazalnik</w:t>
            </w:r>
          </w:p>
        </w:tc>
        <w:tc>
          <w:tcPr>
            <w:tcW w:w="1174"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07BC595E" w14:textId="77777777" w:rsidR="00237A0F" w:rsidRPr="00D82F16" w:rsidRDefault="00237A0F" w:rsidP="00237A0F">
            <w:pPr>
              <w:spacing w:after="0" w:line="240" w:lineRule="auto"/>
              <w:jc w:val="center"/>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Merska enota</w:t>
            </w:r>
          </w:p>
        </w:tc>
        <w:tc>
          <w:tcPr>
            <w:tcW w:w="719"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FBD1C60" w14:textId="77777777" w:rsidR="00237A0F" w:rsidRPr="00D82F16" w:rsidRDefault="00237A0F" w:rsidP="00237A0F">
            <w:pPr>
              <w:spacing w:after="0" w:line="240" w:lineRule="auto"/>
              <w:jc w:val="center"/>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Mejnik (2024)</w:t>
            </w:r>
          </w:p>
        </w:tc>
        <w:tc>
          <w:tcPr>
            <w:tcW w:w="103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4F675AC" w14:textId="77777777" w:rsidR="00237A0F" w:rsidRPr="00D82F16" w:rsidRDefault="00237A0F" w:rsidP="00237A0F">
            <w:pPr>
              <w:spacing w:after="0" w:line="240" w:lineRule="auto"/>
              <w:jc w:val="center"/>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Cilj (2029)</w:t>
            </w:r>
          </w:p>
        </w:tc>
        <w:tc>
          <w:tcPr>
            <w:tcW w:w="922"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2E0D4FC8" w14:textId="77777777" w:rsidR="00237A0F" w:rsidRPr="00D82F16" w:rsidRDefault="00237A0F" w:rsidP="00237A0F">
            <w:pPr>
              <w:spacing w:after="0" w:line="240" w:lineRule="auto"/>
              <w:jc w:val="center"/>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Predlog spremembe - Cilj (2029)</w:t>
            </w:r>
          </w:p>
        </w:tc>
      </w:tr>
      <w:tr w:rsidR="00951F58" w:rsidRPr="00D82F16" w14:paraId="5A320B41" w14:textId="77777777" w:rsidTr="009E5A3A">
        <w:trPr>
          <w:trHeight w:val="153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E365220" w14:textId="77777777" w:rsidR="00237A0F" w:rsidRPr="00D82F16" w:rsidRDefault="00237A0F" w:rsidP="00237A0F">
            <w:pPr>
              <w:spacing w:after="0" w:line="240" w:lineRule="auto"/>
              <w:jc w:val="right"/>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3</w:t>
            </w:r>
          </w:p>
        </w:tc>
        <w:tc>
          <w:tcPr>
            <w:tcW w:w="996" w:type="dxa"/>
            <w:tcBorders>
              <w:top w:val="nil"/>
              <w:left w:val="nil"/>
              <w:bottom w:val="single" w:sz="4" w:space="0" w:color="auto"/>
              <w:right w:val="single" w:sz="4" w:space="0" w:color="auto"/>
            </w:tcBorders>
            <w:shd w:val="clear" w:color="auto" w:fill="auto"/>
            <w:vAlign w:val="center"/>
            <w:hideMark/>
          </w:tcPr>
          <w:p w14:paraId="44F961D4" w14:textId="77777777" w:rsidR="00237A0F" w:rsidRPr="00D82F16" w:rsidRDefault="00237A0F" w:rsidP="00237A0F">
            <w:pPr>
              <w:spacing w:after="0" w:line="240" w:lineRule="auto"/>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RSO2.5</w:t>
            </w:r>
          </w:p>
        </w:tc>
        <w:tc>
          <w:tcPr>
            <w:tcW w:w="696" w:type="dxa"/>
            <w:tcBorders>
              <w:top w:val="nil"/>
              <w:left w:val="nil"/>
              <w:bottom w:val="single" w:sz="4" w:space="0" w:color="auto"/>
              <w:right w:val="single" w:sz="4" w:space="0" w:color="auto"/>
            </w:tcBorders>
            <w:shd w:val="clear" w:color="auto" w:fill="auto"/>
            <w:vAlign w:val="center"/>
            <w:hideMark/>
          </w:tcPr>
          <w:p w14:paraId="2E2AD171" w14:textId="77777777" w:rsidR="00237A0F" w:rsidRPr="00D82F16" w:rsidRDefault="00237A0F" w:rsidP="00237A0F">
            <w:pPr>
              <w:spacing w:after="0" w:line="240" w:lineRule="auto"/>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ESRR</w:t>
            </w:r>
          </w:p>
        </w:tc>
        <w:tc>
          <w:tcPr>
            <w:tcW w:w="1041" w:type="dxa"/>
            <w:tcBorders>
              <w:top w:val="nil"/>
              <w:left w:val="nil"/>
              <w:bottom w:val="single" w:sz="4" w:space="0" w:color="auto"/>
              <w:right w:val="single" w:sz="4" w:space="0" w:color="auto"/>
            </w:tcBorders>
            <w:shd w:val="clear" w:color="auto" w:fill="auto"/>
            <w:vAlign w:val="center"/>
            <w:hideMark/>
          </w:tcPr>
          <w:p w14:paraId="3BB1A435" w14:textId="77777777" w:rsidR="00237A0F" w:rsidRPr="00D82F16" w:rsidRDefault="00237A0F" w:rsidP="009E5A3A">
            <w:pPr>
              <w:spacing w:after="0" w:line="240" w:lineRule="auto"/>
              <w:jc w:val="both"/>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Bolj razvite regije</w:t>
            </w:r>
          </w:p>
        </w:tc>
        <w:tc>
          <w:tcPr>
            <w:tcW w:w="1174" w:type="dxa"/>
            <w:tcBorders>
              <w:top w:val="nil"/>
              <w:left w:val="nil"/>
              <w:bottom w:val="single" w:sz="4" w:space="0" w:color="auto"/>
              <w:right w:val="single" w:sz="4" w:space="0" w:color="auto"/>
            </w:tcBorders>
            <w:shd w:val="clear" w:color="auto" w:fill="auto"/>
            <w:vAlign w:val="center"/>
            <w:hideMark/>
          </w:tcPr>
          <w:p w14:paraId="28F55C06" w14:textId="77777777" w:rsidR="00237A0F" w:rsidRPr="00D82F16" w:rsidRDefault="00237A0F" w:rsidP="00237A0F">
            <w:pPr>
              <w:spacing w:after="0" w:line="240" w:lineRule="auto"/>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RCO31</w:t>
            </w:r>
          </w:p>
        </w:tc>
        <w:tc>
          <w:tcPr>
            <w:tcW w:w="1186" w:type="dxa"/>
            <w:tcBorders>
              <w:top w:val="nil"/>
              <w:left w:val="nil"/>
              <w:bottom w:val="single" w:sz="4" w:space="0" w:color="auto"/>
              <w:right w:val="single" w:sz="4" w:space="0" w:color="auto"/>
            </w:tcBorders>
            <w:shd w:val="clear" w:color="auto" w:fill="auto"/>
            <w:vAlign w:val="center"/>
            <w:hideMark/>
          </w:tcPr>
          <w:p w14:paraId="67D812B1" w14:textId="77777777" w:rsidR="00237A0F" w:rsidRPr="00D82F16" w:rsidRDefault="00237A0F" w:rsidP="00237A0F">
            <w:pPr>
              <w:spacing w:after="0" w:line="240" w:lineRule="auto"/>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Dolžina novih ali nadgrajenih cevi v javnem omrežju za zbiranje odpadne vode</w:t>
            </w:r>
          </w:p>
        </w:tc>
        <w:tc>
          <w:tcPr>
            <w:tcW w:w="1174" w:type="dxa"/>
            <w:tcBorders>
              <w:top w:val="nil"/>
              <w:left w:val="nil"/>
              <w:bottom w:val="single" w:sz="4" w:space="0" w:color="auto"/>
              <w:right w:val="single" w:sz="4" w:space="0" w:color="auto"/>
            </w:tcBorders>
            <w:shd w:val="clear" w:color="auto" w:fill="auto"/>
            <w:vAlign w:val="center"/>
            <w:hideMark/>
          </w:tcPr>
          <w:p w14:paraId="6751F933" w14:textId="77777777" w:rsidR="00237A0F" w:rsidRPr="00D82F16" w:rsidRDefault="00237A0F" w:rsidP="00237A0F">
            <w:pPr>
              <w:spacing w:after="0" w:line="240" w:lineRule="auto"/>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km</w:t>
            </w:r>
          </w:p>
        </w:tc>
        <w:tc>
          <w:tcPr>
            <w:tcW w:w="719" w:type="dxa"/>
            <w:tcBorders>
              <w:top w:val="nil"/>
              <w:left w:val="nil"/>
              <w:bottom w:val="single" w:sz="4" w:space="0" w:color="auto"/>
              <w:right w:val="single" w:sz="4" w:space="0" w:color="auto"/>
            </w:tcBorders>
            <w:shd w:val="clear" w:color="auto" w:fill="auto"/>
            <w:vAlign w:val="center"/>
            <w:hideMark/>
          </w:tcPr>
          <w:p w14:paraId="4ED1FEC1" w14:textId="77777777" w:rsidR="00237A0F" w:rsidRPr="00D82F16" w:rsidRDefault="00237A0F" w:rsidP="00237A0F">
            <w:pPr>
              <w:spacing w:after="0" w:line="240" w:lineRule="auto"/>
              <w:jc w:val="right"/>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0</w:t>
            </w:r>
          </w:p>
        </w:tc>
        <w:tc>
          <w:tcPr>
            <w:tcW w:w="1030" w:type="dxa"/>
            <w:tcBorders>
              <w:top w:val="nil"/>
              <w:left w:val="nil"/>
              <w:bottom w:val="single" w:sz="4" w:space="0" w:color="auto"/>
              <w:right w:val="single" w:sz="4" w:space="0" w:color="auto"/>
            </w:tcBorders>
            <w:shd w:val="clear" w:color="auto" w:fill="auto"/>
            <w:vAlign w:val="center"/>
            <w:hideMark/>
          </w:tcPr>
          <w:p w14:paraId="69271B29" w14:textId="77777777" w:rsidR="00237A0F" w:rsidRPr="00D82F16" w:rsidRDefault="00237A0F" w:rsidP="00237A0F">
            <w:pPr>
              <w:spacing w:after="0" w:line="240" w:lineRule="auto"/>
              <w:jc w:val="right"/>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84</w:t>
            </w:r>
          </w:p>
        </w:tc>
        <w:tc>
          <w:tcPr>
            <w:tcW w:w="922" w:type="dxa"/>
            <w:tcBorders>
              <w:top w:val="nil"/>
              <w:left w:val="nil"/>
              <w:bottom w:val="single" w:sz="4" w:space="0" w:color="auto"/>
              <w:right w:val="single" w:sz="4" w:space="0" w:color="auto"/>
            </w:tcBorders>
            <w:shd w:val="clear" w:color="auto" w:fill="auto"/>
            <w:noWrap/>
            <w:vAlign w:val="bottom"/>
            <w:hideMark/>
          </w:tcPr>
          <w:p w14:paraId="1C49E710" w14:textId="77777777" w:rsidR="00237A0F" w:rsidRPr="00D82F16" w:rsidRDefault="00237A0F" w:rsidP="00237A0F">
            <w:pPr>
              <w:spacing w:after="0" w:line="240" w:lineRule="auto"/>
              <w:jc w:val="right"/>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0</w:t>
            </w:r>
          </w:p>
        </w:tc>
      </w:tr>
      <w:tr w:rsidR="00951F58" w:rsidRPr="00D82F16" w14:paraId="52B41A8D" w14:textId="77777777" w:rsidTr="009E5A3A">
        <w:trPr>
          <w:trHeight w:val="127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CE6B087" w14:textId="77777777" w:rsidR="00237A0F" w:rsidRPr="00D82F16" w:rsidRDefault="00237A0F" w:rsidP="00237A0F">
            <w:pPr>
              <w:spacing w:after="0" w:line="240" w:lineRule="auto"/>
              <w:jc w:val="right"/>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3</w:t>
            </w:r>
          </w:p>
        </w:tc>
        <w:tc>
          <w:tcPr>
            <w:tcW w:w="996" w:type="dxa"/>
            <w:tcBorders>
              <w:top w:val="nil"/>
              <w:left w:val="nil"/>
              <w:bottom w:val="single" w:sz="4" w:space="0" w:color="auto"/>
              <w:right w:val="single" w:sz="4" w:space="0" w:color="auto"/>
            </w:tcBorders>
            <w:shd w:val="clear" w:color="auto" w:fill="auto"/>
            <w:vAlign w:val="center"/>
            <w:hideMark/>
          </w:tcPr>
          <w:p w14:paraId="490F04CF" w14:textId="77777777" w:rsidR="00237A0F" w:rsidRPr="00D82F16" w:rsidRDefault="00237A0F" w:rsidP="00237A0F">
            <w:pPr>
              <w:spacing w:after="0" w:line="240" w:lineRule="auto"/>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RSO2.5</w:t>
            </w:r>
          </w:p>
        </w:tc>
        <w:tc>
          <w:tcPr>
            <w:tcW w:w="696" w:type="dxa"/>
            <w:tcBorders>
              <w:top w:val="nil"/>
              <w:left w:val="nil"/>
              <w:bottom w:val="single" w:sz="4" w:space="0" w:color="auto"/>
              <w:right w:val="single" w:sz="4" w:space="0" w:color="auto"/>
            </w:tcBorders>
            <w:shd w:val="clear" w:color="auto" w:fill="auto"/>
            <w:vAlign w:val="center"/>
            <w:hideMark/>
          </w:tcPr>
          <w:p w14:paraId="603843E7" w14:textId="77777777" w:rsidR="00237A0F" w:rsidRPr="00D82F16" w:rsidRDefault="00237A0F" w:rsidP="00237A0F">
            <w:pPr>
              <w:spacing w:after="0" w:line="240" w:lineRule="auto"/>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ESRR</w:t>
            </w:r>
          </w:p>
        </w:tc>
        <w:tc>
          <w:tcPr>
            <w:tcW w:w="1041" w:type="dxa"/>
            <w:tcBorders>
              <w:top w:val="nil"/>
              <w:left w:val="nil"/>
              <w:bottom w:val="single" w:sz="4" w:space="0" w:color="auto"/>
              <w:right w:val="single" w:sz="4" w:space="0" w:color="auto"/>
            </w:tcBorders>
            <w:shd w:val="clear" w:color="auto" w:fill="auto"/>
            <w:vAlign w:val="center"/>
            <w:hideMark/>
          </w:tcPr>
          <w:p w14:paraId="6991D26D" w14:textId="77777777" w:rsidR="00237A0F" w:rsidRPr="00D82F16" w:rsidRDefault="00237A0F" w:rsidP="00237A0F">
            <w:pPr>
              <w:spacing w:after="0" w:line="240" w:lineRule="auto"/>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Bolj razvite regije</w:t>
            </w:r>
          </w:p>
        </w:tc>
        <w:tc>
          <w:tcPr>
            <w:tcW w:w="1174" w:type="dxa"/>
            <w:tcBorders>
              <w:top w:val="nil"/>
              <w:left w:val="nil"/>
              <w:bottom w:val="single" w:sz="4" w:space="0" w:color="auto"/>
              <w:right w:val="single" w:sz="4" w:space="0" w:color="auto"/>
            </w:tcBorders>
            <w:shd w:val="clear" w:color="auto" w:fill="auto"/>
            <w:vAlign w:val="center"/>
            <w:hideMark/>
          </w:tcPr>
          <w:p w14:paraId="1A4293D0" w14:textId="77777777" w:rsidR="00237A0F" w:rsidRPr="00D82F16" w:rsidRDefault="00237A0F" w:rsidP="00237A0F">
            <w:pPr>
              <w:spacing w:after="0" w:line="240" w:lineRule="auto"/>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RCO32</w:t>
            </w:r>
          </w:p>
        </w:tc>
        <w:tc>
          <w:tcPr>
            <w:tcW w:w="1186" w:type="dxa"/>
            <w:tcBorders>
              <w:top w:val="nil"/>
              <w:left w:val="nil"/>
              <w:bottom w:val="single" w:sz="4" w:space="0" w:color="auto"/>
              <w:right w:val="single" w:sz="4" w:space="0" w:color="auto"/>
            </w:tcBorders>
            <w:shd w:val="clear" w:color="auto" w:fill="auto"/>
            <w:vAlign w:val="center"/>
            <w:hideMark/>
          </w:tcPr>
          <w:p w14:paraId="072D61D7" w14:textId="77777777" w:rsidR="00237A0F" w:rsidRPr="00D82F16" w:rsidRDefault="00237A0F" w:rsidP="00237A0F">
            <w:pPr>
              <w:spacing w:after="0" w:line="240" w:lineRule="auto"/>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Nova ali nadgrajena zmogljivost za čiščenje odpadne vode</w:t>
            </w:r>
          </w:p>
        </w:tc>
        <w:tc>
          <w:tcPr>
            <w:tcW w:w="1174" w:type="dxa"/>
            <w:tcBorders>
              <w:top w:val="nil"/>
              <w:left w:val="nil"/>
              <w:bottom w:val="single" w:sz="4" w:space="0" w:color="auto"/>
              <w:right w:val="single" w:sz="4" w:space="0" w:color="auto"/>
            </w:tcBorders>
            <w:shd w:val="clear" w:color="auto" w:fill="auto"/>
            <w:vAlign w:val="center"/>
            <w:hideMark/>
          </w:tcPr>
          <w:p w14:paraId="730F2F52" w14:textId="77777777" w:rsidR="00237A0F" w:rsidRPr="00D82F16" w:rsidRDefault="00237A0F" w:rsidP="00237A0F">
            <w:pPr>
              <w:spacing w:after="0" w:line="240" w:lineRule="auto"/>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populacijski ekvivalent</w:t>
            </w:r>
          </w:p>
        </w:tc>
        <w:tc>
          <w:tcPr>
            <w:tcW w:w="719" w:type="dxa"/>
            <w:tcBorders>
              <w:top w:val="nil"/>
              <w:left w:val="nil"/>
              <w:bottom w:val="single" w:sz="4" w:space="0" w:color="auto"/>
              <w:right w:val="single" w:sz="4" w:space="0" w:color="auto"/>
            </w:tcBorders>
            <w:shd w:val="clear" w:color="auto" w:fill="auto"/>
            <w:vAlign w:val="center"/>
            <w:hideMark/>
          </w:tcPr>
          <w:p w14:paraId="2897622A" w14:textId="77777777" w:rsidR="00237A0F" w:rsidRPr="00D82F16" w:rsidRDefault="00237A0F" w:rsidP="00237A0F">
            <w:pPr>
              <w:spacing w:after="0" w:line="240" w:lineRule="auto"/>
              <w:jc w:val="right"/>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0</w:t>
            </w:r>
          </w:p>
        </w:tc>
        <w:tc>
          <w:tcPr>
            <w:tcW w:w="1030" w:type="dxa"/>
            <w:tcBorders>
              <w:top w:val="nil"/>
              <w:left w:val="nil"/>
              <w:bottom w:val="single" w:sz="4" w:space="0" w:color="auto"/>
              <w:right w:val="single" w:sz="4" w:space="0" w:color="auto"/>
            </w:tcBorders>
            <w:shd w:val="clear" w:color="auto" w:fill="auto"/>
            <w:vAlign w:val="center"/>
            <w:hideMark/>
          </w:tcPr>
          <w:p w14:paraId="529DA505" w14:textId="77777777" w:rsidR="00237A0F" w:rsidRPr="00D82F16" w:rsidRDefault="00237A0F" w:rsidP="00237A0F">
            <w:pPr>
              <w:spacing w:after="0" w:line="240" w:lineRule="auto"/>
              <w:jc w:val="right"/>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17.156,00</w:t>
            </w:r>
          </w:p>
        </w:tc>
        <w:tc>
          <w:tcPr>
            <w:tcW w:w="922" w:type="dxa"/>
            <w:tcBorders>
              <w:top w:val="nil"/>
              <w:left w:val="nil"/>
              <w:bottom w:val="single" w:sz="4" w:space="0" w:color="auto"/>
              <w:right w:val="single" w:sz="4" w:space="0" w:color="auto"/>
            </w:tcBorders>
            <w:shd w:val="clear" w:color="auto" w:fill="auto"/>
            <w:noWrap/>
            <w:vAlign w:val="bottom"/>
            <w:hideMark/>
          </w:tcPr>
          <w:p w14:paraId="04D0A0C3" w14:textId="77777777" w:rsidR="00237A0F" w:rsidRPr="00D82F16" w:rsidRDefault="00237A0F" w:rsidP="00237A0F">
            <w:pPr>
              <w:spacing w:after="0" w:line="240" w:lineRule="auto"/>
              <w:jc w:val="right"/>
              <w:rPr>
                <w:rFonts w:eastAsia="Times New Roman" w:cs="Arial"/>
                <w:color w:val="000000"/>
                <w:kern w:val="0"/>
                <w:szCs w:val="20"/>
                <w:lang w:eastAsia="sl-SI"/>
                <w14:ligatures w14:val="none"/>
              </w:rPr>
            </w:pPr>
            <w:r w:rsidRPr="00D82F16">
              <w:rPr>
                <w:rFonts w:eastAsia="Times New Roman" w:cs="Arial"/>
                <w:color w:val="000000"/>
                <w:kern w:val="0"/>
                <w:szCs w:val="20"/>
                <w:lang w:eastAsia="sl-SI"/>
                <w14:ligatures w14:val="none"/>
              </w:rPr>
              <w:t>0</w:t>
            </w:r>
          </w:p>
        </w:tc>
      </w:tr>
    </w:tbl>
    <w:p w14:paraId="0E849C72" w14:textId="2E294FBB" w:rsidR="00237A0F" w:rsidRDefault="00237A0F" w:rsidP="004104C6">
      <w:pPr>
        <w:autoSpaceDE w:val="0"/>
        <w:autoSpaceDN w:val="0"/>
        <w:adjustRightInd w:val="0"/>
        <w:spacing w:after="0" w:line="240" w:lineRule="auto"/>
        <w:contextualSpacing/>
        <w:jc w:val="both"/>
        <w:rPr>
          <w:rFonts w:cstheme="minorHAnsi"/>
          <w:kern w:val="0"/>
        </w:rPr>
      </w:pPr>
    </w:p>
    <w:p w14:paraId="0C4A2677" w14:textId="77777777" w:rsidR="0073135B" w:rsidRPr="004104C6" w:rsidRDefault="0073135B" w:rsidP="004104C6">
      <w:pPr>
        <w:autoSpaceDE w:val="0"/>
        <w:autoSpaceDN w:val="0"/>
        <w:adjustRightInd w:val="0"/>
        <w:spacing w:after="0" w:line="240" w:lineRule="auto"/>
        <w:contextualSpacing/>
        <w:jc w:val="both"/>
        <w:rPr>
          <w:rFonts w:cstheme="minorHAnsi"/>
          <w:kern w:val="0"/>
        </w:rPr>
      </w:pPr>
    </w:p>
    <w:p w14:paraId="75A853D3" w14:textId="2929B451" w:rsidR="004104C6" w:rsidRPr="00F67098" w:rsidRDefault="004104C6" w:rsidP="004104C6">
      <w:pPr>
        <w:pStyle w:val="Napis"/>
        <w:keepNext/>
        <w:spacing w:after="0"/>
        <w:rPr>
          <w:i w:val="0"/>
          <w:iCs w:val="0"/>
          <w:color w:val="auto"/>
          <w:sz w:val="20"/>
          <w:szCs w:val="20"/>
        </w:rPr>
      </w:pPr>
      <w:bookmarkStart w:id="137" w:name="_Toc191459965"/>
      <w:r w:rsidRPr="00F67098">
        <w:rPr>
          <w:i w:val="0"/>
          <w:iCs w:val="0"/>
          <w:color w:val="auto"/>
          <w:sz w:val="20"/>
          <w:szCs w:val="20"/>
        </w:rPr>
        <w:lastRenderedPageBreak/>
        <w:t xml:space="preserve">Tabela </w:t>
      </w:r>
      <w:r w:rsidRPr="00F67098">
        <w:rPr>
          <w:i w:val="0"/>
          <w:iCs w:val="0"/>
          <w:color w:val="auto"/>
          <w:sz w:val="20"/>
          <w:szCs w:val="20"/>
        </w:rPr>
        <w:fldChar w:fldCharType="begin"/>
      </w:r>
      <w:r w:rsidRPr="00F67098">
        <w:rPr>
          <w:i w:val="0"/>
          <w:iCs w:val="0"/>
          <w:color w:val="auto"/>
          <w:sz w:val="20"/>
          <w:szCs w:val="20"/>
        </w:rPr>
        <w:instrText xml:space="preserve"> SEQ Tabela \* ARABIC </w:instrText>
      </w:r>
      <w:r w:rsidRPr="00F67098">
        <w:rPr>
          <w:i w:val="0"/>
          <w:iCs w:val="0"/>
          <w:color w:val="auto"/>
          <w:sz w:val="20"/>
          <w:szCs w:val="20"/>
        </w:rPr>
        <w:fldChar w:fldCharType="separate"/>
      </w:r>
      <w:r w:rsidR="00784805">
        <w:rPr>
          <w:i w:val="0"/>
          <w:iCs w:val="0"/>
          <w:noProof/>
          <w:color w:val="auto"/>
          <w:sz w:val="20"/>
          <w:szCs w:val="20"/>
        </w:rPr>
        <w:t>21</w:t>
      </w:r>
      <w:r w:rsidRPr="00F67098">
        <w:rPr>
          <w:i w:val="0"/>
          <w:iCs w:val="0"/>
          <w:color w:val="auto"/>
          <w:sz w:val="20"/>
          <w:szCs w:val="20"/>
        </w:rPr>
        <w:fldChar w:fldCharType="end"/>
      </w:r>
      <w:r w:rsidRPr="00F67098">
        <w:rPr>
          <w:i w:val="0"/>
          <w:iCs w:val="0"/>
          <w:color w:val="auto"/>
          <w:sz w:val="20"/>
          <w:szCs w:val="20"/>
        </w:rPr>
        <w:t>: Predlog spremembe kazalnika rezultata</w:t>
      </w:r>
      <w:bookmarkEnd w:id="137"/>
    </w:p>
    <w:p w14:paraId="3333A4B0" w14:textId="77777777" w:rsidR="004104C6" w:rsidRPr="004104C6" w:rsidRDefault="004104C6" w:rsidP="004104C6">
      <w:pPr>
        <w:spacing w:after="0"/>
      </w:pPr>
    </w:p>
    <w:tbl>
      <w:tblPr>
        <w:tblStyle w:val="Tabelamrea2"/>
        <w:tblW w:w="10390" w:type="dxa"/>
        <w:jc w:val="center"/>
        <w:tblLook w:val="04A0" w:firstRow="1" w:lastRow="0" w:firstColumn="1" w:lastColumn="0" w:noHBand="0" w:noVBand="1"/>
      </w:tblPr>
      <w:tblGrid>
        <w:gridCol w:w="494"/>
        <w:gridCol w:w="1072"/>
        <w:gridCol w:w="772"/>
        <w:gridCol w:w="1117"/>
        <w:gridCol w:w="1250"/>
        <w:gridCol w:w="1262"/>
        <w:gridCol w:w="872"/>
        <w:gridCol w:w="1173"/>
        <w:gridCol w:w="1106"/>
        <w:gridCol w:w="1272"/>
      </w:tblGrid>
      <w:tr w:rsidR="009E5A3A" w:rsidRPr="00D82F16" w14:paraId="1B9A47DD" w14:textId="77777777" w:rsidTr="00404A74">
        <w:trPr>
          <w:trHeight w:val="1035"/>
          <w:jc w:val="center"/>
        </w:trPr>
        <w:tc>
          <w:tcPr>
            <w:tcW w:w="562" w:type="dxa"/>
            <w:shd w:val="clear" w:color="auto" w:fill="D9E2F3" w:themeFill="accent1" w:themeFillTint="33"/>
            <w:hideMark/>
          </w:tcPr>
          <w:p w14:paraId="795D8DEF" w14:textId="552A48DA" w:rsidR="00237A0F" w:rsidRPr="00D82F16" w:rsidRDefault="00237A0F" w:rsidP="00237A0F">
            <w:pPr>
              <w:jc w:val="center"/>
              <w:rPr>
                <w:rFonts w:eastAsia="Times New Roman" w:cs="Arial"/>
                <w:color w:val="000000"/>
              </w:rPr>
            </w:pPr>
            <w:r w:rsidRPr="00D82F16">
              <w:rPr>
                <w:rFonts w:eastAsia="Times New Roman" w:cs="Arial"/>
                <w:color w:val="000000"/>
              </w:rPr>
              <w:t>PN</w:t>
            </w:r>
          </w:p>
        </w:tc>
        <w:tc>
          <w:tcPr>
            <w:tcW w:w="1004" w:type="dxa"/>
            <w:shd w:val="clear" w:color="auto" w:fill="D9E2F3" w:themeFill="accent1" w:themeFillTint="33"/>
            <w:hideMark/>
          </w:tcPr>
          <w:p w14:paraId="151B0B9A" w14:textId="77777777" w:rsidR="00237A0F" w:rsidRPr="00D82F16" w:rsidRDefault="00237A0F" w:rsidP="00237A0F">
            <w:pPr>
              <w:jc w:val="center"/>
              <w:rPr>
                <w:rFonts w:eastAsia="Times New Roman" w:cs="Arial"/>
                <w:color w:val="000000"/>
              </w:rPr>
            </w:pPr>
            <w:r w:rsidRPr="00D82F16">
              <w:rPr>
                <w:rFonts w:eastAsia="Times New Roman" w:cs="Arial"/>
                <w:color w:val="000000"/>
              </w:rPr>
              <w:t>Specifični cilj</w:t>
            </w:r>
          </w:p>
        </w:tc>
        <w:tc>
          <w:tcPr>
            <w:tcW w:w="0" w:type="auto"/>
            <w:shd w:val="clear" w:color="auto" w:fill="D9E2F3" w:themeFill="accent1" w:themeFillTint="33"/>
            <w:hideMark/>
          </w:tcPr>
          <w:p w14:paraId="4998DD80" w14:textId="77777777" w:rsidR="00237A0F" w:rsidRPr="00D82F16" w:rsidRDefault="00237A0F" w:rsidP="00237A0F">
            <w:pPr>
              <w:jc w:val="center"/>
              <w:rPr>
                <w:rFonts w:eastAsia="Times New Roman" w:cs="Arial"/>
                <w:color w:val="000000"/>
              </w:rPr>
            </w:pPr>
            <w:r w:rsidRPr="00D82F16">
              <w:rPr>
                <w:rFonts w:eastAsia="Times New Roman" w:cs="Arial"/>
                <w:color w:val="000000"/>
                <w:szCs w:val="24"/>
              </w:rPr>
              <w:t>Sklad</w:t>
            </w:r>
          </w:p>
        </w:tc>
        <w:tc>
          <w:tcPr>
            <w:tcW w:w="0" w:type="auto"/>
            <w:shd w:val="clear" w:color="auto" w:fill="D9E2F3" w:themeFill="accent1" w:themeFillTint="33"/>
            <w:hideMark/>
          </w:tcPr>
          <w:p w14:paraId="08764714" w14:textId="77777777" w:rsidR="00237A0F" w:rsidRPr="00D82F16" w:rsidRDefault="00237A0F" w:rsidP="00237A0F">
            <w:pPr>
              <w:jc w:val="center"/>
              <w:rPr>
                <w:rFonts w:eastAsia="Times New Roman" w:cs="Arial"/>
                <w:color w:val="000000"/>
              </w:rPr>
            </w:pPr>
            <w:r w:rsidRPr="00D82F16">
              <w:rPr>
                <w:rFonts w:eastAsia="Times New Roman" w:cs="Arial"/>
                <w:color w:val="000000"/>
                <w:szCs w:val="24"/>
              </w:rPr>
              <w:t>Kategorija regije</w:t>
            </w:r>
          </w:p>
        </w:tc>
        <w:tc>
          <w:tcPr>
            <w:tcW w:w="1250" w:type="dxa"/>
            <w:shd w:val="clear" w:color="auto" w:fill="D9E2F3" w:themeFill="accent1" w:themeFillTint="33"/>
            <w:hideMark/>
          </w:tcPr>
          <w:p w14:paraId="3C9179FF" w14:textId="77777777" w:rsidR="00237A0F" w:rsidRPr="00D82F16" w:rsidRDefault="00237A0F" w:rsidP="00237A0F">
            <w:pPr>
              <w:jc w:val="center"/>
              <w:rPr>
                <w:rFonts w:eastAsia="Times New Roman" w:cs="Arial"/>
                <w:color w:val="000000"/>
              </w:rPr>
            </w:pPr>
            <w:r w:rsidRPr="00D82F16">
              <w:rPr>
                <w:rFonts w:eastAsia="Times New Roman" w:cs="Arial"/>
                <w:color w:val="000000"/>
                <w:szCs w:val="24"/>
              </w:rPr>
              <w:t>Identifikator</w:t>
            </w:r>
          </w:p>
        </w:tc>
        <w:tc>
          <w:tcPr>
            <w:tcW w:w="1262" w:type="dxa"/>
            <w:shd w:val="clear" w:color="auto" w:fill="D9E2F3" w:themeFill="accent1" w:themeFillTint="33"/>
            <w:hideMark/>
          </w:tcPr>
          <w:p w14:paraId="3401FA2A" w14:textId="77777777" w:rsidR="00237A0F" w:rsidRPr="00D82F16" w:rsidRDefault="00237A0F" w:rsidP="00237A0F">
            <w:pPr>
              <w:jc w:val="center"/>
              <w:rPr>
                <w:rFonts w:eastAsia="Times New Roman" w:cs="Arial"/>
                <w:color w:val="000000"/>
              </w:rPr>
            </w:pPr>
            <w:r w:rsidRPr="00D82F16">
              <w:rPr>
                <w:rFonts w:eastAsia="Times New Roman" w:cs="Arial"/>
                <w:color w:val="000000"/>
                <w:szCs w:val="24"/>
              </w:rPr>
              <w:t>Kazalnik</w:t>
            </w:r>
          </w:p>
        </w:tc>
        <w:tc>
          <w:tcPr>
            <w:tcW w:w="0" w:type="auto"/>
            <w:shd w:val="clear" w:color="auto" w:fill="D9E2F3" w:themeFill="accent1" w:themeFillTint="33"/>
            <w:hideMark/>
          </w:tcPr>
          <w:p w14:paraId="4AE6DE85" w14:textId="77777777" w:rsidR="00237A0F" w:rsidRPr="00D82F16" w:rsidRDefault="00237A0F" w:rsidP="00237A0F">
            <w:pPr>
              <w:jc w:val="center"/>
              <w:rPr>
                <w:rFonts w:eastAsia="Times New Roman" w:cs="Arial"/>
                <w:color w:val="000000"/>
              </w:rPr>
            </w:pPr>
            <w:r w:rsidRPr="00D82F16">
              <w:rPr>
                <w:rFonts w:eastAsia="Times New Roman" w:cs="Arial"/>
                <w:color w:val="000000"/>
                <w:szCs w:val="24"/>
              </w:rPr>
              <w:t>Merska enota</w:t>
            </w:r>
          </w:p>
        </w:tc>
        <w:tc>
          <w:tcPr>
            <w:tcW w:w="0" w:type="auto"/>
            <w:shd w:val="clear" w:color="auto" w:fill="D9E2F3" w:themeFill="accent1" w:themeFillTint="33"/>
            <w:hideMark/>
          </w:tcPr>
          <w:p w14:paraId="15F3762D" w14:textId="77777777" w:rsidR="00237A0F" w:rsidRPr="00D82F16" w:rsidRDefault="00237A0F" w:rsidP="00237A0F">
            <w:pPr>
              <w:jc w:val="center"/>
              <w:rPr>
                <w:rFonts w:eastAsia="Times New Roman" w:cs="Arial"/>
                <w:color w:val="000000"/>
              </w:rPr>
            </w:pPr>
            <w:r w:rsidRPr="00D82F16">
              <w:rPr>
                <w:rFonts w:eastAsia="Times New Roman" w:cs="Arial"/>
                <w:color w:val="000000"/>
                <w:szCs w:val="24"/>
              </w:rPr>
              <w:t>Izhodiščna ali referenčna vrednost</w:t>
            </w:r>
          </w:p>
        </w:tc>
        <w:tc>
          <w:tcPr>
            <w:tcW w:w="0" w:type="auto"/>
            <w:shd w:val="clear" w:color="auto" w:fill="D9E2F3" w:themeFill="accent1" w:themeFillTint="33"/>
            <w:hideMark/>
          </w:tcPr>
          <w:p w14:paraId="598FD494" w14:textId="77777777" w:rsidR="00237A0F" w:rsidRPr="00D82F16" w:rsidRDefault="00237A0F" w:rsidP="00237A0F">
            <w:pPr>
              <w:jc w:val="center"/>
              <w:rPr>
                <w:rFonts w:eastAsia="Times New Roman" w:cs="Arial"/>
                <w:color w:val="000000"/>
              </w:rPr>
            </w:pPr>
            <w:r w:rsidRPr="00D82F16">
              <w:rPr>
                <w:rFonts w:eastAsia="Times New Roman" w:cs="Arial"/>
                <w:color w:val="000000"/>
                <w:szCs w:val="24"/>
              </w:rPr>
              <w:t>Cilj (2029)</w:t>
            </w:r>
          </w:p>
        </w:tc>
        <w:tc>
          <w:tcPr>
            <w:tcW w:w="1272" w:type="dxa"/>
            <w:shd w:val="clear" w:color="auto" w:fill="D9E2F3" w:themeFill="accent1" w:themeFillTint="33"/>
            <w:hideMark/>
          </w:tcPr>
          <w:p w14:paraId="7DDB2813" w14:textId="77777777" w:rsidR="00237A0F" w:rsidRPr="00D82F16" w:rsidRDefault="00237A0F" w:rsidP="00237A0F">
            <w:pPr>
              <w:jc w:val="center"/>
              <w:rPr>
                <w:rFonts w:eastAsia="Times New Roman" w:cs="Arial"/>
                <w:color w:val="000000"/>
              </w:rPr>
            </w:pPr>
            <w:r w:rsidRPr="00D82F16">
              <w:rPr>
                <w:rFonts w:eastAsia="Times New Roman" w:cs="Arial"/>
                <w:color w:val="000000"/>
                <w:szCs w:val="24"/>
              </w:rPr>
              <w:t>Predlog spremembe - Cilj (2029)</w:t>
            </w:r>
          </w:p>
        </w:tc>
      </w:tr>
      <w:tr w:rsidR="00076FA4" w:rsidRPr="00D82F16" w14:paraId="1BE19830" w14:textId="77777777" w:rsidTr="00404A74">
        <w:trPr>
          <w:trHeight w:val="1545"/>
          <w:jc w:val="center"/>
        </w:trPr>
        <w:tc>
          <w:tcPr>
            <w:tcW w:w="562" w:type="dxa"/>
            <w:hideMark/>
          </w:tcPr>
          <w:p w14:paraId="3E8C472D" w14:textId="77777777" w:rsidR="00237A0F" w:rsidRPr="00D82F16" w:rsidRDefault="00237A0F" w:rsidP="00237A0F">
            <w:pPr>
              <w:jc w:val="right"/>
              <w:rPr>
                <w:rFonts w:eastAsia="Times New Roman" w:cs="Arial"/>
                <w:color w:val="000000"/>
              </w:rPr>
            </w:pPr>
            <w:r w:rsidRPr="00D82F16">
              <w:rPr>
                <w:rFonts w:eastAsia="Times New Roman" w:cs="Arial"/>
                <w:color w:val="000000"/>
                <w:szCs w:val="24"/>
              </w:rPr>
              <w:t>3</w:t>
            </w:r>
          </w:p>
        </w:tc>
        <w:tc>
          <w:tcPr>
            <w:tcW w:w="1004" w:type="dxa"/>
            <w:hideMark/>
          </w:tcPr>
          <w:p w14:paraId="26935A6C" w14:textId="77777777" w:rsidR="00237A0F" w:rsidRPr="00D82F16" w:rsidRDefault="00237A0F" w:rsidP="00237A0F">
            <w:pPr>
              <w:rPr>
                <w:rFonts w:eastAsia="Times New Roman" w:cs="Arial"/>
                <w:color w:val="000000"/>
              </w:rPr>
            </w:pPr>
            <w:r w:rsidRPr="00D82F16">
              <w:rPr>
                <w:rFonts w:eastAsia="Times New Roman" w:cs="Arial"/>
                <w:color w:val="000000"/>
                <w:szCs w:val="24"/>
              </w:rPr>
              <w:t>RSO2.5</w:t>
            </w:r>
          </w:p>
        </w:tc>
        <w:tc>
          <w:tcPr>
            <w:tcW w:w="0" w:type="auto"/>
            <w:hideMark/>
          </w:tcPr>
          <w:p w14:paraId="7E00A93D" w14:textId="77777777" w:rsidR="00237A0F" w:rsidRPr="00D82F16" w:rsidRDefault="00237A0F" w:rsidP="00237A0F">
            <w:pPr>
              <w:rPr>
                <w:rFonts w:eastAsia="Times New Roman" w:cs="Arial"/>
                <w:color w:val="000000"/>
              </w:rPr>
            </w:pPr>
            <w:r w:rsidRPr="00D82F16">
              <w:rPr>
                <w:rFonts w:eastAsia="Times New Roman" w:cs="Arial"/>
                <w:color w:val="000000"/>
                <w:szCs w:val="24"/>
              </w:rPr>
              <w:t>ESRR</w:t>
            </w:r>
          </w:p>
        </w:tc>
        <w:tc>
          <w:tcPr>
            <w:tcW w:w="0" w:type="auto"/>
            <w:hideMark/>
          </w:tcPr>
          <w:p w14:paraId="7A69785A" w14:textId="77777777" w:rsidR="00237A0F" w:rsidRPr="00D82F16" w:rsidRDefault="00237A0F" w:rsidP="00237A0F">
            <w:pPr>
              <w:rPr>
                <w:rFonts w:eastAsia="Times New Roman" w:cs="Arial"/>
                <w:color w:val="000000"/>
              </w:rPr>
            </w:pPr>
            <w:r w:rsidRPr="00D82F16">
              <w:rPr>
                <w:rFonts w:eastAsia="Times New Roman" w:cs="Arial"/>
                <w:color w:val="000000"/>
                <w:szCs w:val="24"/>
              </w:rPr>
              <w:t>Bolj razvite regije</w:t>
            </w:r>
          </w:p>
        </w:tc>
        <w:tc>
          <w:tcPr>
            <w:tcW w:w="1250" w:type="dxa"/>
            <w:hideMark/>
          </w:tcPr>
          <w:p w14:paraId="3B3B03D1" w14:textId="77777777" w:rsidR="00237A0F" w:rsidRPr="00D82F16" w:rsidRDefault="00237A0F" w:rsidP="00237A0F">
            <w:pPr>
              <w:rPr>
                <w:rFonts w:eastAsia="Times New Roman" w:cs="Arial"/>
                <w:color w:val="000000"/>
              </w:rPr>
            </w:pPr>
            <w:r w:rsidRPr="00D82F16">
              <w:rPr>
                <w:rFonts w:eastAsia="Times New Roman" w:cs="Arial"/>
                <w:color w:val="000000"/>
                <w:szCs w:val="24"/>
              </w:rPr>
              <w:t>RCR42</w:t>
            </w:r>
          </w:p>
        </w:tc>
        <w:tc>
          <w:tcPr>
            <w:tcW w:w="1262" w:type="dxa"/>
            <w:hideMark/>
          </w:tcPr>
          <w:p w14:paraId="620E2AC9" w14:textId="77777777" w:rsidR="00237A0F" w:rsidRPr="00D82F16" w:rsidRDefault="00237A0F" w:rsidP="00237A0F">
            <w:pPr>
              <w:rPr>
                <w:rFonts w:eastAsia="Times New Roman" w:cs="Arial"/>
                <w:color w:val="000000"/>
              </w:rPr>
            </w:pPr>
            <w:r w:rsidRPr="00D82F16">
              <w:rPr>
                <w:rFonts w:eastAsia="Times New Roman" w:cs="Arial"/>
                <w:color w:val="000000"/>
                <w:szCs w:val="24"/>
              </w:rPr>
              <w:t>Prebivalci, priklopljeni vsaj na sekundarno javno omrežje za čiščenje odpadne vode</w:t>
            </w:r>
          </w:p>
        </w:tc>
        <w:tc>
          <w:tcPr>
            <w:tcW w:w="0" w:type="auto"/>
            <w:hideMark/>
          </w:tcPr>
          <w:p w14:paraId="548C5442" w14:textId="77777777" w:rsidR="00237A0F" w:rsidRPr="00D82F16" w:rsidRDefault="00237A0F" w:rsidP="00237A0F">
            <w:pPr>
              <w:rPr>
                <w:rFonts w:eastAsia="Times New Roman" w:cs="Arial"/>
                <w:color w:val="000000"/>
              </w:rPr>
            </w:pPr>
            <w:r w:rsidRPr="00D82F16">
              <w:rPr>
                <w:rFonts w:eastAsia="Times New Roman" w:cs="Arial"/>
                <w:color w:val="000000"/>
                <w:szCs w:val="24"/>
              </w:rPr>
              <w:t>osebe</w:t>
            </w:r>
          </w:p>
        </w:tc>
        <w:tc>
          <w:tcPr>
            <w:tcW w:w="0" w:type="auto"/>
            <w:hideMark/>
          </w:tcPr>
          <w:p w14:paraId="26894FC1" w14:textId="77777777" w:rsidR="00237A0F" w:rsidRPr="00D82F16" w:rsidRDefault="00237A0F" w:rsidP="00237A0F">
            <w:pPr>
              <w:jc w:val="right"/>
              <w:rPr>
                <w:rFonts w:eastAsia="Times New Roman" w:cs="Arial"/>
                <w:color w:val="000000"/>
              </w:rPr>
            </w:pPr>
            <w:r w:rsidRPr="00D82F16">
              <w:rPr>
                <w:rFonts w:eastAsia="Times New Roman" w:cs="Arial"/>
                <w:color w:val="000000"/>
                <w:szCs w:val="24"/>
              </w:rPr>
              <w:t>0</w:t>
            </w:r>
          </w:p>
        </w:tc>
        <w:tc>
          <w:tcPr>
            <w:tcW w:w="0" w:type="auto"/>
            <w:hideMark/>
          </w:tcPr>
          <w:p w14:paraId="3C4876A3" w14:textId="77777777" w:rsidR="00237A0F" w:rsidRPr="00D82F16" w:rsidRDefault="00237A0F" w:rsidP="00237A0F">
            <w:pPr>
              <w:jc w:val="right"/>
              <w:rPr>
                <w:rFonts w:eastAsia="Times New Roman" w:cs="Arial"/>
                <w:color w:val="000000"/>
              </w:rPr>
            </w:pPr>
            <w:r w:rsidRPr="00D82F16">
              <w:rPr>
                <w:rFonts w:eastAsia="Times New Roman" w:cs="Arial"/>
                <w:color w:val="000000"/>
                <w:szCs w:val="24"/>
              </w:rPr>
              <w:t>15.961,00</w:t>
            </w:r>
          </w:p>
        </w:tc>
        <w:tc>
          <w:tcPr>
            <w:tcW w:w="1272" w:type="dxa"/>
            <w:hideMark/>
          </w:tcPr>
          <w:p w14:paraId="42FC1279" w14:textId="77777777" w:rsidR="00237A0F" w:rsidRPr="00D82F16" w:rsidRDefault="00237A0F" w:rsidP="00237A0F">
            <w:pPr>
              <w:jc w:val="right"/>
              <w:rPr>
                <w:rFonts w:eastAsia="Times New Roman" w:cs="Arial"/>
                <w:color w:val="000000"/>
              </w:rPr>
            </w:pPr>
            <w:r w:rsidRPr="00D82F16">
              <w:rPr>
                <w:rFonts w:eastAsia="Times New Roman" w:cs="Arial"/>
                <w:color w:val="000000"/>
              </w:rPr>
              <w:t>0</w:t>
            </w:r>
          </w:p>
        </w:tc>
      </w:tr>
    </w:tbl>
    <w:p w14:paraId="7456F961" w14:textId="77777777" w:rsidR="00237A0F" w:rsidRPr="00237A0F" w:rsidRDefault="00237A0F" w:rsidP="000B3E1A">
      <w:pPr>
        <w:autoSpaceDE w:val="0"/>
        <w:autoSpaceDN w:val="0"/>
        <w:adjustRightInd w:val="0"/>
        <w:spacing w:after="0" w:line="240" w:lineRule="auto"/>
        <w:ind w:left="720"/>
        <w:contextualSpacing/>
        <w:jc w:val="both"/>
        <w:rPr>
          <w:rFonts w:cstheme="minorHAnsi"/>
          <w:kern w:val="0"/>
        </w:rPr>
      </w:pPr>
    </w:p>
    <w:p w14:paraId="5E551C26" w14:textId="1D9E5B2D" w:rsidR="00460454" w:rsidRDefault="5E5580FB" w:rsidP="180E6078">
      <w:pPr>
        <w:autoSpaceDE w:val="0"/>
        <w:autoSpaceDN w:val="0"/>
        <w:adjustRightInd w:val="0"/>
        <w:spacing w:after="0" w:line="240" w:lineRule="auto"/>
        <w:contextualSpacing/>
        <w:jc w:val="both"/>
      </w:pPr>
      <w:r w:rsidRPr="3C3FF29F">
        <w:rPr>
          <w:kern w:val="0"/>
        </w:rPr>
        <w:t xml:space="preserve">Prav tako se v delu </w:t>
      </w:r>
      <w:r>
        <w:t>ESRR</w:t>
      </w:r>
      <w:r w:rsidR="4FD64A98">
        <w:t xml:space="preserve"> Zahod</w:t>
      </w:r>
      <w:r w:rsidRPr="3C3FF29F">
        <w:rPr>
          <w:kern w:val="0"/>
        </w:rPr>
        <w:t xml:space="preserve"> brišejo razpredelnice 4, 5, 6 in 8 v PEKP. </w:t>
      </w:r>
    </w:p>
    <w:p w14:paraId="19D0325F" w14:textId="77777777" w:rsidR="004104C6" w:rsidRDefault="004104C6" w:rsidP="002D2511">
      <w:pPr>
        <w:autoSpaceDE w:val="0"/>
        <w:autoSpaceDN w:val="0"/>
        <w:adjustRightInd w:val="0"/>
        <w:spacing w:after="0" w:line="240" w:lineRule="auto"/>
        <w:ind w:left="720"/>
        <w:contextualSpacing/>
        <w:jc w:val="both"/>
        <w:rPr>
          <w:rFonts w:cstheme="minorHAnsi"/>
          <w:kern w:val="0"/>
        </w:rPr>
      </w:pPr>
    </w:p>
    <w:p w14:paraId="079762C7" w14:textId="370B0885" w:rsidR="002E1975" w:rsidRPr="002D2511" w:rsidRDefault="002E1975" w:rsidP="00446D40">
      <w:pPr>
        <w:pStyle w:val="Naslov3"/>
        <w:numPr>
          <w:ilvl w:val="2"/>
          <w:numId w:val="2"/>
        </w:numPr>
        <w:rPr>
          <w:color w:val="4472C4" w:themeColor="accent1"/>
        </w:rPr>
      </w:pPr>
      <w:bookmarkStart w:id="138" w:name="_Toc187154473"/>
      <w:bookmarkStart w:id="139" w:name="_Toc191383869"/>
      <w:r w:rsidRPr="662DABA9">
        <w:rPr>
          <w:color w:val="4472C4" w:themeColor="accent1"/>
        </w:rPr>
        <w:t>RSO 2.7 Izboljšanje varstva in ohranjanja narave ter biotske raznovrstnosti in zelene infrastrukture, tudi v mestnem okolju, in zmanjšanje vseh oblik onesnaževanja (ESRR)</w:t>
      </w:r>
      <w:bookmarkEnd w:id="138"/>
      <w:bookmarkEnd w:id="139"/>
    </w:p>
    <w:p w14:paraId="55B51CC5" w14:textId="77777777" w:rsidR="002E1975" w:rsidRPr="00C13D02" w:rsidRDefault="002E1975" w:rsidP="002E1975">
      <w:pPr>
        <w:autoSpaceDE w:val="0"/>
        <w:autoSpaceDN w:val="0"/>
        <w:adjustRightInd w:val="0"/>
        <w:spacing w:after="0" w:line="240" w:lineRule="auto"/>
        <w:jc w:val="both"/>
        <w:rPr>
          <w:rFonts w:cstheme="minorHAnsi"/>
          <w:kern w:val="0"/>
        </w:rPr>
      </w:pPr>
    </w:p>
    <w:p w14:paraId="201D9F6A" w14:textId="4C8DDBE3" w:rsidR="002E1975" w:rsidRDefault="002E1975" w:rsidP="7A07A84A">
      <w:pPr>
        <w:numPr>
          <w:ilvl w:val="0"/>
          <w:numId w:val="17"/>
        </w:numPr>
        <w:autoSpaceDE w:val="0"/>
        <w:autoSpaceDN w:val="0"/>
        <w:adjustRightInd w:val="0"/>
        <w:spacing w:after="0" w:line="240" w:lineRule="auto"/>
        <w:contextualSpacing/>
        <w:jc w:val="both"/>
        <w:rPr>
          <w:kern w:val="0"/>
        </w:rPr>
      </w:pPr>
      <w:r w:rsidRPr="7A07A84A">
        <w:rPr>
          <w:b/>
          <w:bCs/>
          <w:kern w:val="0"/>
          <w:u w:val="single"/>
        </w:rPr>
        <w:t xml:space="preserve">Ukrepi za izboljšanje stanja biotske raznovrstnosti v omrežju Natura 2000 in na drugih </w:t>
      </w:r>
      <w:r w:rsidR="1E7A8181" w:rsidRPr="7A07A84A">
        <w:rPr>
          <w:b/>
          <w:bCs/>
          <w:kern w:val="0"/>
          <w:u w:val="single"/>
        </w:rPr>
        <w:t>p</w:t>
      </w:r>
      <w:r w:rsidRPr="7A07A84A">
        <w:rPr>
          <w:b/>
          <w:bCs/>
          <w:kern w:val="0"/>
          <w:u w:val="single"/>
        </w:rPr>
        <w:t>rednostnih območjih varstva narave</w:t>
      </w:r>
      <w:r w:rsidRPr="7A07A84A">
        <w:rPr>
          <w:kern w:val="0"/>
        </w:rPr>
        <w:t>:</w:t>
      </w:r>
    </w:p>
    <w:p w14:paraId="2BE9D2A1" w14:textId="77777777" w:rsidR="002D2511" w:rsidRPr="00C13D02" w:rsidRDefault="002D2511" w:rsidP="002D2511">
      <w:pPr>
        <w:autoSpaceDE w:val="0"/>
        <w:autoSpaceDN w:val="0"/>
        <w:adjustRightInd w:val="0"/>
        <w:spacing w:after="0" w:line="240" w:lineRule="auto"/>
        <w:ind w:left="360"/>
        <w:contextualSpacing/>
        <w:jc w:val="both"/>
        <w:rPr>
          <w:rFonts w:cstheme="minorHAnsi"/>
          <w:kern w:val="0"/>
        </w:rPr>
      </w:pPr>
    </w:p>
    <w:p w14:paraId="2B7963ED" w14:textId="77777777" w:rsidR="002E1975" w:rsidRPr="00C13D02" w:rsidRDefault="002E1975" w:rsidP="00446D40">
      <w:pPr>
        <w:numPr>
          <w:ilvl w:val="0"/>
          <w:numId w:val="9"/>
        </w:numPr>
        <w:autoSpaceDE w:val="0"/>
        <w:autoSpaceDN w:val="0"/>
        <w:adjustRightInd w:val="0"/>
        <w:spacing w:after="0" w:line="240" w:lineRule="auto"/>
        <w:contextualSpacing/>
        <w:jc w:val="both"/>
        <w:rPr>
          <w:kern w:val="0"/>
        </w:rPr>
      </w:pPr>
      <w:r w:rsidRPr="39E492BC">
        <w:rPr>
          <w:kern w:val="0"/>
        </w:rPr>
        <w:t>redakcijski popravki opisa ukrepa v besedilu PEKP 2021–2027 in metodološkem listu.</w:t>
      </w:r>
    </w:p>
    <w:p w14:paraId="76710C2C" w14:textId="77777777" w:rsidR="002E1975" w:rsidRPr="002E1975" w:rsidRDefault="002E1975" w:rsidP="002E1975">
      <w:pPr>
        <w:autoSpaceDE w:val="0"/>
        <w:autoSpaceDN w:val="0"/>
        <w:adjustRightInd w:val="0"/>
        <w:spacing w:after="0" w:line="240" w:lineRule="auto"/>
        <w:rPr>
          <w:rFonts w:cstheme="minorHAnsi"/>
          <w:kern w:val="0"/>
        </w:rPr>
      </w:pPr>
    </w:p>
    <w:p w14:paraId="69ECF888" w14:textId="2F5CB93E" w:rsidR="002E1975" w:rsidRPr="002E1975" w:rsidRDefault="002E1975" w:rsidP="00446D40">
      <w:pPr>
        <w:pStyle w:val="Naslov2"/>
        <w:numPr>
          <w:ilvl w:val="1"/>
          <w:numId w:val="2"/>
        </w:numPr>
      </w:pPr>
      <w:bookmarkStart w:id="140" w:name="_Toc187154474"/>
      <w:bookmarkStart w:id="141" w:name="_Toc191383870"/>
      <w:r w:rsidRPr="002E1975">
        <w:t>Cilj politike 3: Bolj povezana Slovenija z izboljšanjem mobilnosti</w:t>
      </w:r>
      <w:bookmarkEnd w:id="140"/>
      <w:bookmarkEnd w:id="141"/>
      <w:r w:rsidRPr="002E1975" w:rsidDel="004D585D">
        <w:t xml:space="preserve"> </w:t>
      </w:r>
    </w:p>
    <w:p w14:paraId="43075FAF" w14:textId="77777777" w:rsidR="002E1975" w:rsidRPr="002E1975" w:rsidRDefault="002E1975" w:rsidP="002E1975">
      <w:pPr>
        <w:autoSpaceDE w:val="0"/>
        <w:autoSpaceDN w:val="0"/>
        <w:adjustRightInd w:val="0"/>
        <w:spacing w:after="0" w:line="240" w:lineRule="auto"/>
        <w:rPr>
          <w:rFonts w:cstheme="minorHAnsi"/>
          <w:kern w:val="0"/>
        </w:rPr>
      </w:pPr>
    </w:p>
    <w:p w14:paraId="16910AC3" w14:textId="77777777" w:rsidR="00543DF9" w:rsidRDefault="002E1975" w:rsidP="00446D40">
      <w:pPr>
        <w:numPr>
          <w:ilvl w:val="0"/>
          <w:numId w:val="18"/>
        </w:numPr>
        <w:spacing w:after="0" w:line="240" w:lineRule="auto"/>
        <w:contextualSpacing/>
        <w:jc w:val="both"/>
        <w:rPr>
          <w:rFonts w:eastAsia="Times New Roman"/>
          <w14:ligatures w14:val="none"/>
        </w:rPr>
      </w:pPr>
      <w:r w:rsidRPr="003345C5">
        <w:rPr>
          <w:rFonts w:cstheme="minorHAnsi"/>
          <w:b/>
          <w:bCs/>
          <w:kern w:val="0"/>
          <w:u w:val="single"/>
        </w:rPr>
        <w:t>Spremembe na specifičnemu cilju 3.1.</w:t>
      </w:r>
      <w:r w:rsidRPr="00C13D02">
        <w:rPr>
          <w:rFonts w:eastAsia="Times New Roman"/>
          <w14:ligatures w14:val="none"/>
        </w:rPr>
        <w:t xml:space="preserve"> V spremembi Programa EKP 21–27 </w:t>
      </w:r>
      <w:r w:rsidR="00543DF9">
        <w:rPr>
          <w:rFonts w:eastAsia="Times New Roman"/>
          <w14:ligatures w14:val="none"/>
        </w:rPr>
        <w:t>predlagamo:</w:t>
      </w:r>
    </w:p>
    <w:p w14:paraId="0CEE9418" w14:textId="3DC03A7C" w:rsidR="002E1975" w:rsidRPr="00543DF9" w:rsidRDefault="002E1975" w:rsidP="00543DF9">
      <w:pPr>
        <w:pStyle w:val="Odstavekseznama"/>
        <w:numPr>
          <w:ilvl w:val="0"/>
          <w:numId w:val="50"/>
        </w:numPr>
        <w:spacing w:after="0" w:line="240" w:lineRule="auto"/>
        <w:jc w:val="both"/>
        <w:rPr>
          <w:rFonts w:eastAsia="Times New Roman"/>
          <w14:ligatures w14:val="none"/>
        </w:rPr>
      </w:pPr>
      <w:r w:rsidRPr="00543DF9">
        <w:rPr>
          <w:rFonts w:eastAsia="Times New Roman"/>
          <w14:ligatures w14:val="none"/>
        </w:rPr>
        <w:t>novelira</w:t>
      </w:r>
      <w:r w:rsidR="00543DF9">
        <w:rPr>
          <w:rFonts w:eastAsia="Times New Roman"/>
          <w14:ligatures w14:val="none"/>
        </w:rPr>
        <w:t xml:space="preserve"> se</w:t>
      </w:r>
      <w:r w:rsidRPr="00543DF9">
        <w:rPr>
          <w:rFonts w:eastAsia="Times New Roman"/>
          <w14:ligatures w14:val="none"/>
        </w:rPr>
        <w:t xml:space="preserve"> obseg </w:t>
      </w:r>
      <w:r w:rsidR="002C7183">
        <w:rPr>
          <w:rFonts w:eastAsia="Times New Roman"/>
          <w14:ligatures w14:val="none"/>
        </w:rPr>
        <w:t>strateškega</w:t>
      </w:r>
      <w:r w:rsidR="002C7183" w:rsidRPr="00543DF9">
        <w:rPr>
          <w:rFonts w:eastAsia="Times New Roman"/>
          <w14:ligatures w14:val="none"/>
        </w:rPr>
        <w:t xml:space="preserve"> </w:t>
      </w:r>
      <w:r w:rsidRPr="00543DF9">
        <w:rPr>
          <w:rFonts w:eastAsia="Times New Roman"/>
          <w14:ligatures w14:val="none"/>
        </w:rPr>
        <w:t xml:space="preserve">projekta Nadgradnja železniške proge </w:t>
      </w:r>
      <w:proofErr w:type="spellStart"/>
      <w:r w:rsidRPr="00543DF9">
        <w:rPr>
          <w:rFonts w:eastAsia="Times New Roman"/>
          <w14:ligatures w14:val="none"/>
        </w:rPr>
        <w:t>d.m</w:t>
      </w:r>
      <w:proofErr w:type="spellEnd"/>
      <w:r w:rsidRPr="00543DF9">
        <w:rPr>
          <w:rFonts w:eastAsia="Times New Roman"/>
          <w14:ligatures w14:val="none"/>
        </w:rPr>
        <w:t xml:space="preserve">.-Dobova- Zidani Most – 1. faza: odsek </w:t>
      </w:r>
      <w:proofErr w:type="spellStart"/>
      <w:r w:rsidRPr="00543DF9">
        <w:rPr>
          <w:rFonts w:eastAsia="Times New Roman"/>
          <w14:ligatures w14:val="none"/>
        </w:rPr>
        <w:t>d.m</w:t>
      </w:r>
      <w:proofErr w:type="spellEnd"/>
      <w:r w:rsidRPr="00543DF9">
        <w:rPr>
          <w:rFonts w:eastAsia="Times New Roman"/>
          <w14:ligatures w14:val="none"/>
        </w:rPr>
        <w:t xml:space="preserve">.-Dobova-Sevnica in uskladi kazalnik učinka RCO47: Dolžina novih ali nadgrajenih železniških prog-TEN-T. </w:t>
      </w:r>
    </w:p>
    <w:p w14:paraId="37B41631" w14:textId="77777777" w:rsidR="002E1975" w:rsidRPr="002E1975" w:rsidRDefault="002E1975" w:rsidP="00DD1E3C">
      <w:pPr>
        <w:pStyle w:val="Brezrazmikov"/>
      </w:pPr>
    </w:p>
    <w:p w14:paraId="07794563" w14:textId="5D4D5787" w:rsidR="002E1975" w:rsidRPr="00C13D02" w:rsidRDefault="002E1975" w:rsidP="00F67098">
      <w:pPr>
        <w:pStyle w:val="Brezrazmikov"/>
        <w:jc w:val="both"/>
        <w:rPr>
          <w:rFonts w:eastAsia="Times New Roman" w:cstheme="minorHAnsi"/>
          <w:bCs/>
          <w:kern w:val="0"/>
          <w14:ligatures w14:val="none"/>
        </w:rPr>
      </w:pPr>
      <w:r w:rsidRPr="00EF6E2D">
        <w:rPr>
          <w:u w:val="single"/>
        </w:rPr>
        <w:t>Obrazložitev</w:t>
      </w:r>
      <w:r w:rsidRPr="00C13D02">
        <w:t xml:space="preserve">: </w:t>
      </w:r>
      <w:r w:rsidR="004B7A56">
        <w:rPr>
          <w:rFonts w:eastAsia="Times New Roman" w:cstheme="minorHAnsi"/>
          <w:kern w:val="0"/>
          <w14:ligatures w14:val="none"/>
        </w:rPr>
        <w:t>strateški projekt</w:t>
      </w:r>
      <w:r w:rsidRPr="00C13D02">
        <w:rPr>
          <w:rFonts w:eastAsia="Times New Roman" w:cstheme="minorHAnsi"/>
          <w:bCs/>
          <w:kern w:val="0"/>
          <w14:ligatures w14:val="none"/>
        </w:rPr>
        <w:t xml:space="preserve"> nadgradnje železniške proge d. m.–Dobova–Zidani Most – 1. faza: odsek d. m.–Dobova–Sevnica</w:t>
      </w:r>
      <w:r w:rsidR="004B7A56">
        <w:rPr>
          <w:rFonts w:eastAsia="Times New Roman" w:cstheme="minorHAnsi"/>
          <w:bCs/>
          <w:kern w:val="0"/>
          <w14:ligatures w14:val="none"/>
        </w:rPr>
        <w:t xml:space="preserve"> se</w:t>
      </w:r>
      <w:r w:rsidRPr="00C13D02">
        <w:rPr>
          <w:rFonts w:eastAsia="Times New Roman" w:cstheme="minorHAnsi"/>
          <w:bCs/>
          <w:kern w:val="0"/>
          <w14:ligatures w14:val="none"/>
        </w:rPr>
        <w:t xml:space="preserve"> zaradi obsega ter zagotavljanja lažjega vodenja prometa med izvedbo del, deli na 5 etap:</w:t>
      </w:r>
    </w:p>
    <w:p w14:paraId="5267ACCC" w14:textId="77777777" w:rsidR="002E1975" w:rsidRPr="00C13D02" w:rsidRDefault="002E1975" w:rsidP="00446D40">
      <w:pPr>
        <w:numPr>
          <w:ilvl w:val="0"/>
          <w:numId w:val="4"/>
        </w:numPr>
        <w:spacing w:after="0" w:line="240" w:lineRule="auto"/>
        <w:rPr>
          <w:rFonts w:eastAsia="Times New Roman" w:cstheme="minorHAnsi"/>
          <w:bCs/>
          <w:kern w:val="0"/>
          <w:lang w:eastAsia="sl-SI"/>
          <w14:ligatures w14:val="none"/>
        </w:rPr>
      </w:pPr>
      <w:r w:rsidRPr="00C13D02">
        <w:rPr>
          <w:rFonts w:eastAsia="Times New Roman" w:cstheme="minorHAnsi"/>
          <w:bCs/>
          <w:kern w:val="0"/>
          <w:lang w:eastAsia="sl-SI"/>
          <w14:ligatures w14:val="none"/>
        </w:rPr>
        <w:t>1. etapa (območje Krško),</w:t>
      </w:r>
    </w:p>
    <w:p w14:paraId="6E5CF309" w14:textId="77777777" w:rsidR="002E1975" w:rsidRPr="00C13D02" w:rsidRDefault="002E1975" w:rsidP="00446D40">
      <w:pPr>
        <w:numPr>
          <w:ilvl w:val="0"/>
          <w:numId w:val="4"/>
        </w:numPr>
        <w:spacing w:after="0" w:line="240" w:lineRule="auto"/>
        <w:rPr>
          <w:rFonts w:eastAsia="Times New Roman" w:cstheme="minorHAnsi"/>
          <w:bCs/>
          <w:kern w:val="0"/>
          <w:lang w:eastAsia="sl-SI"/>
          <w14:ligatures w14:val="none"/>
        </w:rPr>
      </w:pPr>
      <w:r w:rsidRPr="00C13D02">
        <w:rPr>
          <w:rFonts w:eastAsia="Times New Roman" w:cstheme="minorHAnsi"/>
          <w:bCs/>
          <w:kern w:val="0"/>
          <w:lang w:eastAsia="sl-SI"/>
          <w14:ligatures w14:val="none"/>
        </w:rPr>
        <w:t>2. etapa (območje Sevnica),</w:t>
      </w:r>
    </w:p>
    <w:p w14:paraId="23A664B4" w14:textId="77777777" w:rsidR="00DD1E3C" w:rsidRPr="00C13D02" w:rsidRDefault="002E1975" w:rsidP="00446D40">
      <w:pPr>
        <w:numPr>
          <w:ilvl w:val="0"/>
          <w:numId w:val="4"/>
        </w:numPr>
        <w:spacing w:after="0" w:line="240" w:lineRule="auto"/>
        <w:rPr>
          <w:rFonts w:eastAsia="Times New Roman" w:cstheme="minorHAnsi"/>
          <w:bCs/>
          <w:kern w:val="0"/>
          <w:lang w:eastAsia="sl-SI"/>
          <w14:ligatures w14:val="none"/>
        </w:rPr>
      </w:pPr>
      <w:r w:rsidRPr="00C13D02">
        <w:rPr>
          <w:rFonts w:eastAsia="Times New Roman" w:cstheme="minorHAnsi"/>
          <w:bCs/>
          <w:kern w:val="0"/>
          <w:lang w:eastAsia="sl-SI"/>
          <w14:ligatures w14:val="none"/>
        </w:rPr>
        <w:t>3. etapa: nadgradnja odseka Krško–Sevnica,</w:t>
      </w:r>
    </w:p>
    <w:p w14:paraId="60388DEF" w14:textId="77777777" w:rsidR="00DD1E3C" w:rsidRPr="00C13D02" w:rsidRDefault="002E1975" w:rsidP="00446D40">
      <w:pPr>
        <w:numPr>
          <w:ilvl w:val="0"/>
          <w:numId w:val="4"/>
        </w:numPr>
        <w:spacing w:after="0" w:line="240" w:lineRule="auto"/>
        <w:rPr>
          <w:rFonts w:eastAsia="Times New Roman" w:cstheme="minorHAnsi"/>
          <w:bCs/>
          <w:kern w:val="0"/>
          <w:lang w:eastAsia="sl-SI"/>
          <w14:ligatures w14:val="none"/>
        </w:rPr>
      </w:pPr>
      <w:r w:rsidRPr="00C13D02">
        <w:rPr>
          <w:lang w:eastAsia="sl-SI"/>
        </w:rPr>
        <w:t>4. etapa: nadgradnja odseka d. m.–Dobova–Brežice,</w:t>
      </w:r>
    </w:p>
    <w:p w14:paraId="0CA0B92D" w14:textId="2176A8DB" w:rsidR="002E1975" w:rsidRPr="00C13D02" w:rsidRDefault="002E1975" w:rsidP="00446D40">
      <w:pPr>
        <w:numPr>
          <w:ilvl w:val="0"/>
          <w:numId w:val="4"/>
        </w:numPr>
        <w:spacing w:after="0" w:line="240" w:lineRule="auto"/>
        <w:rPr>
          <w:rFonts w:eastAsia="Times New Roman" w:cstheme="minorHAnsi"/>
          <w:bCs/>
          <w:kern w:val="0"/>
          <w:lang w:eastAsia="sl-SI"/>
          <w14:ligatures w14:val="none"/>
        </w:rPr>
      </w:pPr>
      <w:r w:rsidRPr="00C13D02">
        <w:rPr>
          <w:lang w:eastAsia="sl-SI"/>
        </w:rPr>
        <w:t>5. etapa: nadgradnja odseka Brežice–Krško z območjem Blanca.</w:t>
      </w:r>
    </w:p>
    <w:p w14:paraId="02949FC1" w14:textId="77777777" w:rsidR="00B7500A" w:rsidRPr="00C13D02" w:rsidRDefault="00B7500A" w:rsidP="00B7500A">
      <w:pPr>
        <w:pStyle w:val="Brezrazmikov"/>
      </w:pPr>
    </w:p>
    <w:p w14:paraId="6DDCDD6B" w14:textId="0932AE4C" w:rsidR="002E1975" w:rsidRPr="00C13D02" w:rsidRDefault="002C7183" w:rsidP="00DD1E3C">
      <w:pPr>
        <w:pStyle w:val="Brezrazmikov"/>
        <w:jc w:val="both"/>
      </w:pPr>
      <w:r>
        <w:t>Strateškemu</w:t>
      </w:r>
      <w:r w:rsidR="002E1975" w:rsidRPr="00C13D02">
        <w:t xml:space="preserve"> projektu smo dodali izvedbo nadgradnje začetne železniške postaje odseka Dobova-Sevnica </w:t>
      </w:r>
      <w:proofErr w:type="spellStart"/>
      <w:r w:rsidR="002E1975" w:rsidRPr="00C13D02">
        <w:t>t.j</w:t>
      </w:r>
      <w:proofErr w:type="spellEnd"/>
      <w:r w:rsidR="002E1975" w:rsidRPr="00C13D02">
        <w:t xml:space="preserve">. izvedba Etape 2 – območje Sevnica v dolžini 2,24 km, ki v osnovnem Programu EKP 21–27 ni bila vključena. </w:t>
      </w:r>
    </w:p>
    <w:p w14:paraId="4D2734C7" w14:textId="77777777" w:rsidR="002E1975" w:rsidRPr="00C13D02" w:rsidRDefault="002E1975" w:rsidP="00B7500A">
      <w:pPr>
        <w:pStyle w:val="Brezrazmikov"/>
      </w:pPr>
    </w:p>
    <w:p w14:paraId="74208723" w14:textId="2BA9628D" w:rsidR="002E1975" w:rsidRPr="002E1975" w:rsidRDefault="002E1975" w:rsidP="00DD1E3C">
      <w:pPr>
        <w:pStyle w:val="Brezrazmikov"/>
        <w:jc w:val="both"/>
      </w:pPr>
      <w:r w:rsidRPr="00C13D02">
        <w:t>Razen tega pa se je na osnovi dodatnih informacij in zahtev, ki jih je DRSI pridobila v postopku izdelave višje stopnje projektne dokumentacije (PZI) izkazala</w:t>
      </w:r>
      <w:r w:rsidRPr="002E1975">
        <w:t xml:space="preserve"> potreba po spremembi na Etapi 5 - nadgradnja na odseku Brežice-Krško v dolžini 9,87 km z nadgradnjo postaj Brežice in Blanca ter postajališče Libna, in sicer za zagotovitev hitrosti potniških vlakov do 160 km/h (kriterij za jedrne TEN-T koridorje) bo treba na tem odseku ukiniti več nivojskih prehodov, zgraditi 2 nova </w:t>
      </w:r>
      <w:proofErr w:type="spellStart"/>
      <w:r w:rsidRPr="002E1975">
        <w:t>izvennivojska</w:t>
      </w:r>
      <w:proofErr w:type="spellEnd"/>
      <w:r w:rsidRPr="002E1975">
        <w:t xml:space="preserve"> prehoda ceste z železnico, izvesti deviacijo železniške proge v dolžini 1,7 km ter prestaviti postajališče Libna. Za izvedbo tega bo treba predhodno pridobiti DPN za novo postajališče Libna, kar izvedbo podaljša po letu 2029. </w:t>
      </w:r>
    </w:p>
    <w:p w14:paraId="1EED498B" w14:textId="77777777" w:rsidR="002E1975" w:rsidRPr="002E1975" w:rsidRDefault="002E1975" w:rsidP="00B7500A">
      <w:pPr>
        <w:pStyle w:val="Brezrazmikov"/>
      </w:pPr>
    </w:p>
    <w:p w14:paraId="102B2ED8" w14:textId="77777777" w:rsidR="002E1975" w:rsidRDefault="002E1975" w:rsidP="00DD1E3C">
      <w:pPr>
        <w:pStyle w:val="Brezrazmikov"/>
        <w:jc w:val="both"/>
      </w:pPr>
      <w:r w:rsidRPr="00B0344F">
        <w:rPr>
          <w:u w:val="single"/>
        </w:rPr>
        <w:t>V zvezi s tem predlagamo popravek kazalnika učinka RCO47:</w:t>
      </w:r>
      <w:r w:rsidRPr="00B0344F">
        <w:t xml:space="preserve"> Dolžina novih ali nadgrajenih železniških prog-TEN-</w:t>
      </w:r>
      <w:r w:rsidRPr="00B0344F">
        <w:rPr>
          <w:b/>
          <w:bCs/>
        </w:rPr>
        <w:t>T (znižanje iz 33,70 km na 25,93 km).</w:t>
      </w:r>
      <w:r w:rsidRPr="00B0344F">
        <w:t xml:space="preserve"> Delno skrajšanje dolžine nadgrajenega odseka ne </w:t>
      </w:r>
      <w:r w:rsidRPr="00B0344F">
        <w:lastRenderedPageBreak/>
        <w:t>vpliva na kazalnik rezultata RCR59: Železniški tovorni promet, saj se le-ta meri letno na osnovi izvedenih storitev prevoza tovora po javni železniški infrastrukturi v Sloveniji.</w:t>
      </w:r>
    </w:p>
    <w:p w14:paraId="2AEA2428" w14:textId="77777777" w:rsidR="00543DF9" w:rsidRDefault="00543DF9" w:rsidP="00DD1E3C">
      <w:pPr>
        <w:pStyle w:val="Brezrazmikov"/>
        <w:jc w:val="both"/>
      </w:pPr>
    </w:p>
    <w:p w14:paraId="232701D1" w14:textId="77777777" w:rsidR="00543DF9" w:rsidRPr="00CB79E8" w:rsidRDefault="00543DF9" w:rsidP="00543DF9">
      <w:pPr>
        <w:pStyle w:val="Brezrazmikov"/>
        <w:numPr>
          <w:ilvl w:val="0"/>
          <w:numId w:val="4"/>
        </w:numPr>
        <w:jc w:val="both"/>
      </w:pPr>
      <w:r w:rsidRPr="002E1975">
        <w:t>vključitev reze</w:t>
      </w:r>
      <w:r>
        <w:t xml:space="preserve">rvnega projekta </w:t>
      </w:r>
      <w:r w:rsidRPr="00CB79E8">
        <w:rPr>
          <w:i/>
          <w:iCs/>
        </w:rPr>
        <w:t>Nadgradnja železniške postaje Ljubljana (sklop B in C)</w:t>
      </w:r>
    </w:p>
    <w:p w14:paraId="2A7D6ADF" w14:textId="77777777" w:rsidR="00543DF9" w:rsidRDefault="00543DF9" w:rsidP="00543DF9">
      <w:pPr>
        <w:pStyle w:val="Brezrazmikov"/>
        <w:jc w:val="both"/>
      </w:pPr>
    </w:p>
    <w:p w14:paraId="03150687" w14:textId="321FDB7B" w:rsidR="00543DF9" w:rsidRDefault="00543DF9" w:rsidP="00543DF9">
      <w:pPr>
        <w:pStyle w:val="Brezrazmikov"/>
        <w:jc w:val="both"/>
      </w:pPr>
      <w:r>
        <w:t xml:space="preserve">Obrazložitev: Projekt </w:t>
      </w:r>
      <w:r w:rsidRPr="00CB79E8">
        <w:rPr>
          <w:i/>
          <w:iCs/>
        </w:rPr>
        <w:t>Nadgradnja železniške postaje Ljubljana (sklop B in C)</w:t>
      </w:r>
      <w:r>
        <w:rPr>
          <w:i/>
          <w:iCs/>
        </w:rPr>
        <w:t xml:space="preserve"> </w:t>
      </w:r>
      <w:r>
        <w:t>je bil prvotno p</w:t>
      </w:r>
      <w:r w:rsidRPr="00104989">
        <w:t xml:space="preserve">redviden </w:t>
      </w:r>
      <w:r>
        <w:t>za</w:t>
      </w:r>
      <w:r w:rsidRPr="00104989">
        <w:t xml:space="preserve"> sofinanciranje s povratnimi evropskimi sredstvi iz Načrta za okrevanje in odpornost.</w:t>
      </w:r>
    </w:p>
    <w:p w14:paraId="58A8267C" w14:textId="77777777" w:rsidR="00543DF9" w:rsidRDefault="00543DF9" w:rsidP="00543DF9">
      <w:pPr>
        <w:pStyle w:val="Brezrazmikov"/>
        <w:jc w:val="both"/>
      </w:pPr>
    </w:p>
    <w:p w14:paraId="45D93ACA" w14:textId="77777777" w:rsidR="00543DF9" w:rsidRPr="00104989" w:rsidRDefault="00543DF9" w:rsidP="00543DF9">
      <w:pPr>
        <w:pStyle w:val="Brezrazmikov"/>
        <w:jc w:val="both"/>
      </w:pPr>
      <w:r w:rsidRPr="00104989">
        <w:t xml:space="preserve">Ljubljansko železniško vozlišče </w:t>
      </w:r>
      <w:r>
        <w:t>j</w:t>
      </w:r>
      <w:r w:rsidRPr="00104989">
        <w:t>e najpomembnejše železniško vozlišče na državni ravni in zelo pomembno jedrno vozlišče prometnega omrežja TEN-T, preko katerega potekata Baltsko-jadranski in Sredozemski koridor. Predstavlja stičišče glavnih in regionalnih prog za obratovanje cca 450 vlakov dnevno. Ljubljansko železniško vozlišče je središče primestnega potniškega prometa, kar se opravi s cca. 300 vlaki dnevno. To pomeni cca. 65 % vseh vlakov skozi železniško omrežje ljubljanskih postaj.</w:t>
      </w:r>
    </w:p>
    <w:p w14:paraId="39B13CC3" w14:textId="77777777" w:rsidR="00543DF9" w:rsidRDefault="00543DF9" w:rsidP="00543DF9">
      <w:pPr>
        <w:pStyle w:val="Brezrazmikov"/>
        <w:jc w:val="both"/>
      </w:pPr>
    </w:p>
    <w:p w14:paraId="5F74D576" w14:textId="7D5E00EF" w:rsidR="00543DF9" w:rsidRDefault="00543DF9" w:rsidP="00543DF9">
      <w:pPr>
        <w:spacing w:after="240"/>
        <w:jc w:val="both"/>
        <w:rPr>
          <w:rFonts w:cs="Arial"/>
          <w:szCs w:val="20"/>
          <w:lang w:eastAsia="sl-SI"/>
          <w14:ligatures w14:val="none"/>
        </w:rPr>
      </w:pPr>
      <w:r w:rsidRPr="00F74C82">
        <w:rPr>
          <w:rFonts w:cs="Arial"/>
          <w:szCs w:val="20"/>
          <w:lang w:eastAsia="sl-SI"/>
          <w14:ligatures w14:val="none"/>
        </w:rPr>
        <w:t>Gradbeno dovoljenje za nov nadhod je bilo pridobljeno 25.10.2023</w:t>
      </w:r>
      <w:r w:rsidR="002C7183">
        <w:rPr>
          <w:rFonts w:cs="Arial"/>
          <w:szCs w:val="20"/>
          <w:lang w:eastAsia="sl-SI"/>
          <w14:ligatures w14:val="none"/>
        </w:rPr>
        <w:t>,</w:t>
      </w:r>
      <w:r w:rsidR="002C7183" w:rsidRPr="002C7183">
        <w:rPr>
          <w:rFonts w:cs="Arial"/>
          <w:szCs w:val="20"/>
          <w:lang w:eastAsia="sl-SI"/>
          <w14:ligatures w14:val="none"/>
        </w:rPr>
        <w:t xml:space="preserve"> </w:t>
      </w:r>
      <w:r w:rsidR="002C7183">
        <w:rPr>
          <w:rFonts w:cs="Arial"/>
          <w:szCs w:val="20"/>
          <w:lang w:eastAsia="sl-SI"/>
          <w14:ligatures w14:val="none"/>
        </w:rPr>
        <w:t>ostala dela se izvajajo po VDJK</w:t>
      </w:r>
      <w:r w:rsidRPr="00F74C82">
        <w:rPr>
          <w:rFonts w:cs="Arial"/>
          <w:szCs w:val="20"/>
          <w:lang w:eastAsia="sl-SI"/>
          <w14:ligatures w14:val="none"/>
        </w:rPr>
        <w:t>. Pogodba z izbranim izvajalcem del je bila podpisana 26.9.2024. Uvedba izvajalca v delo je bila izvedena dne 30.9.2024</w:t>
      </w:r>
      <w:r w:rsidR="004B7A56" w:rsidRPr="004B7A56">
        <w:rPr>
          <w:rFonts w:cs="Arial"/>
          <w:szCs w:val="20"/>
          <w:lang w:eastAsia="sl-SI"/>
          <w14:ligatures w14:val="none"/>
        </w:rPr>
        <w:t>,</w:t>
      </w:r>
      <w:r w:rsidR="004B7A56" w:rsidRPr="009469ED">
        <w:rPr>
          <w:rFonts w:cs="Arial"/>
          <w:szCs w:val="20"/>
          <w:lang w:eastAsia="sl-SI"/>
          <w14:ligatures w14:val="none"/>
        </w:rPr>
        <w:t xml:space="preserve"> </w:t>
      </w:r>
      <w:r w:rsidR="004B7A56" w:rsidRPr="004B7A56">
        <w:rPr>
          <w:rFonts w:cs="Arial"/>
          <w:szCs w:val="20"/>
          <w:lang w:eastAsia="sl-SI"/>
          <w14:ligatures w14:val="none"/>
        </w:rPr>
        <w:t>dela potekajo po predvidenem terminskem planu</w:t>
      </w:r>
      <w:r w:rsidR="004B7A56">
        <w:rPr>
          <w:rFonts w:cs="Arial"/>
          <w:szCs w:val="20"/>
          <w:lang w:eastAsia="sl-SI"/>
          <w14:ligatures w14:val="none"/>
        </w:rPr>
        <w:t>,</w:t>
      </w:r>
      <w:r w:rsidR="004B7A56" w:rsidDel="004B7A56">
        <w:rPr>
          <w:rFonts w:cs="Arial"/>
          <w:szCs w:val="20"/>
          <w:lang w:eastAsia="sl-SI"/>
          <w14:ligatures w14:val="none"/>
        </w:rPr>
        <w:t xml:space="preserve"> </w:t>
      </w:r>
      <w:r w:rsidRPr="00F74C82">
        <w:rPr>
          <w:rFonts w:cs="Arial"/>
          <w:szCs w:val="20"/>
          <w:lang w:eastAsia="sl-SI"/>
          <w14:ligatures w14:val="none"/>
        </w:rPr>
        <w:t>rok izvedbe</w:t>
      </w:r>
      <w:r>
        <w:rPr>
          <w:rFonts w:cs="Arial"/>
          <w:szCs w:val="20"/>
          <w:lang w:eastAsia="sl-SI"/>
          <w14:ligatures w14:val="none"/>
        </w:rPr>
        <w:t xml:space="preserve"> del pa je</w:t>
      </w:r>
      <w:r w:rsidRPr="00F74C82">
        <w:rPr>
          <w:rFonts w:cs="Arial"/>
          <w:szCs w:val="20"/>
          <w:lang w:eastAsia="sl-SI"/>
          <w14:ligatures w14:val="none"/>
        </w:rPr>
        <w:t xml:space="preserve"> 22 mesecev od uvedbe v delo oz. 30.7.2026.</w:t>
      </w:r>
    </w:p>
    <w:p w14:paraId="459389AE" w14:textId="35327D5D" w:rsidR="00543DF9" w:rsidRPr="00D31C03" w:rsidRDefault="00543DF9" w:rsidP="00D31C03">
      <w:pPr>
        <w:pStyle w:val="Brezrazmikov"/>
        <w:jc w:val="both"/>
        <w:rPr>
          <w:szCs w:val="20"/>
        </w:rPr>
      </w:pPr>
      <w:r w:rsidRPr="002E1975">
        <w:rPr>
          <w:szCs w:val="20"/>
        </w:rPr>
        <w:t>S</w:t>
      </w:r>
      <w:r w:rsidRPr="002E1975">
        <w:t xml:space="preserve">ofinanciranje izvedbe navedenega rezervnega projekta iz EKP sredstev bi lahko bistveno vplivalo na višino </w:t>
      </w:r>
      <w:r>
        <w:t>korišče</w:t>
      </w:r>
      <w:r w:rsidRPr="002E1975">
        <w:t xml:space="preserve">nja EU sredstev v l. 2025 in 2026, </w:t>
      </w:r>
      <w:r w:rsidRPr="002E1975">
        <w:rPr>
          <w:b/>
          <w:bCs/>
          <w:u w:val="single"/>
        </w:rPr>
        <w:t xml:space="preserve">in sicer predvidevamo dodatno </w:t>
      </w:r>
      <w:r>
        <w:rPr>
          <w:b/>
          <w:bCs/>
          <w:u w:val="single"/>
        </w:rPr>
        <w:t>korišče</w:t>
      </w:r>
      <w:r w:rsidRPr="002E1975">
        <w:rPr>
          <w:b/>
          <w:bCs/>
          <w:u w:val="single"/>
        </w:rPr>
        <w:t xml:space="preserve">nje v višini </w:t>
      </w:r>
      <w:r w:rsidR="002C7183">
        <w:rPr>
          <w:b/>
          <w:bCs/>
          <w:u w:val="single"/>
        </w:rPr>
        <w:t>175</w:t>
      </w:r>
      <w:r w:rsidR="002C7183" w:rsidRPr="002E1975">
        <w:rPr>
          <w:b/>
          <w:bCs/>
          <w:u w:val="single"/>
        </w:rPr>
        <w:t xml:space="preserve"> </w:t>
      </w:r>
      <w:r w:rsidRPr="002E1975">
        <w:rPr>
          <w:b/>
          <w:bCs/>
          <w:u w:val="single"/>
        </w:rPr>
        <w:t>mio EUR EU sredstev</w:t>
      </w:r>
      <w:r w:rsidRPr="002E1975">
        <w:t xml:space="preserve"> v navedenih dveh letih.</w:t>
      </w:r>
    </w:p>
    <w:p w14:paraId="63B0C3AC" w14:textId="77777777" w:rsidR="002E1975" w:rsidRPr="00B0344F" w:rsidRDefault="002E1975" w:rsidP="00B7500A">
      <w:pPr>
        <w:pStyle w:val="Brezrazmikov"/>
      </w:pPr>
    </w:p>
    <w:p w14:paraId="0F4F87F6" w14:textId="77777777" w:rsidR="002E1975" w:rsidRPr="00B0344F" w:rsidRDefault="002E1975" w:rsidP="00446D40">
      <w:pPr>
        <w:numPr>
          <w:ilvl w:val="0"/>
          <w:numId w:val="18"/>
        </w:numPr>
        <w:spacing w:after="0" w:line="240" w:lineRule="auto"/>
        <w:contextualSpacing/>
        <w:rPr>
          <w:rFonts w:eastAsia="Times New Roman"/>
          <w14:ligatures w14:val="none"/>
        </w:rPr>
      </w:pPr>
      <w:r w:rsidRPr="003345C5">
        <w:rPr>
          <w:rFonts w:cstheme="minorHAnsi"/>
          <w:b/>
          <w:bCs/>
          <w:kern w:val="0"/>
          <w:u w:val="single"/>
        </w:rPr>
        <w:t>Spremembe na specifičnemu cilju 3.2</w:t>
      </w:r>
      <w:r w:rsidRPr="00B0344F">
        <w:rPr>
          <w:rFonts w:eastAsia="Times New Roman"/>
          <w14:ligatures w14:val="none"/>
        </w:rPr>
        <w:t xml:space="preserve">. V spremembi Program EKP 21–27 predlagamo: </w:t>
      </w:r>
    </w:p>
    <w:p w14:paraId="791FA01C" w14:textId="70D3774F" w:rsidR="002E1975" w:rsidRPr="00B0344F" w:rsidRDefault="002E1975" w:rsidP="00446D40">
      <w:pPr>
        <w:pStyle w:val="Brezrazmikov"/>
        <w:numPr>
          <w:ilvl w:val="0"/>
          <w:numId w:val="5"/>
        </w:numPr>
        <w:jc w:val="both"/>
      </w:pPr>
      <w:r w:rsidRPr="00B0344F">
        <w:t xml:space="preserve">noveliranje obsega projekta </w:t>
      </w:r>
      <w:r w:rsidRPr="00B0344F">
        <w:rPr>
          <w:i/>
        </w:rPr>
        <w:t>Nadgradnja železniške proge Maribor-Ruše.</w:t>
      </w:r>
      <w:r w:rsidRPr="00B0344F">
        <w:t xml:space="preserve"> Na osnovi višje stopnje izdelane projektne dokumentacije (</w:t>
      </w:r>
      <w:proofErr w:type="spellStart"/>
      <w:r w:rsidRPr="00B0344F">
        <w:t>IzN</w:t>
      </w:r>
      <w:proofErr w:type="spellEnd"/>
      <w:r w:rsidRPr="00B0344F">
        <w:t xml:space="preserve">) se je izkazalo, da znaša dolžina odseka, ki bo nadgrajen </w:t>
      </w:r>
      <w:r w:rsidR="009230E7">
        <w:t>14,14</w:t>
      </w:r>
      <w:r w:rsidRPr="00B0344F">
        <w:t xml:space="preserve"> km. Na osnovi tega predlagamo uskladitev vrednosti kazalnika učinka RCO48: </w:t>
      </w:r>
      <w:r w:rsidRPr="00B0344F">
        <w:rPr>
          <w:i/>
        </w:rPr>
        <w:t>Dolžina novih ali nadgrajenih železniških prog – zunaj TEN</w:t>
      </w:r>
      <w:r w:rsidRPr="00B0344F">
        <w:rPr>
          <w:b/>
          <w:bCs/>
          <w:i/>
        </w:rPr>
        <w:t>-T</w:t>
      </w:r>
      <w:r w:rsidRPr="00B0344F">
        <w:rPr>
          <w:b/>
          <w:bCs/>
        </w:rPr>
        <w:t xml:space="preserve"> (</w:t>
      </w:r>
      <w:r w:rsidRPr="00B0344F">
        <w:rPr>
          <w:b/>
          <w:bCs/>
          <w:u w:val="single"/>
        </w:rPr>
        <w:t xml:space="preserve">dvig iz 10 km na </w:t>
      </w:r>
      <w:r w:rsidR="009230E7">
        <w:rPr>
          <w:b/>
          <w:bCs/>
          <w:u w:val="single"/>
        </w:rPr>
        <w:t>14,14</w:t>
      </w:r>
      <w:r w:rsidRPr="00B0344F">
        <w:rPr>
          <w:b/>
          <w:bCs/>
          <w:u w:val="single"/>
        </w:rPr>
        <w:t xml:space="preserve"> km);</w:t>
      </w:r>
    </w:p>
    <w:p w14:paraId="4D4E57C5" w14:textId="77777777" w:rsidR="002E1975" w:rsidRPr="002E1975" w:rsidRDefault="002E1975" w:rsidP="00B7500A">
      <w:pPr>
        <w:pStyle w:val="Brezrazmikov"/>
      </w:pPr>
    </w:p>
    <w:p w14:paraId="5189F54F" w14:textId="05086C7E" w:rsidR="002E1975" w:rsidRPr="002E1975" w:rsidRDefault="002E1975" w:rsidP="00F67098">
      <w:pPr>
        <w:pStyle w:val="Brezrazmikov"/>
        <w:numPr>
          <w:ilvl w:val="0"/>
          <w:numId w:val="5"/>
        </w:numPr>
        <w:jc w:val="both"/>
      </w:pPr>
      <w:r w:rsidRPr="002E1975">
        <w:t xml:space="preserve">noveliranje obsega projekta Nadaljevanje del na 3. razvojni osi: odsek Dramlje-Šentjur ter uskladitev kazalnika učinka RCO44: Dolžina novih ali nadgrajenih cest – zunaj TEN-T. </w:t>
      </w:r>
    </w:p>
    <w:p w14:paraId="3E9FB19C" w14:textId="77777777" w:rsidR="00DD1E3C" w:rsidRDefault="00DD1E3C" w:rsidP="00DD1E3C">
      <w:pPr>
        <w:pStyle w:val="Brezrazmikov"/>
      </w:pPr>
    </w:p>
    <w:p w14:paraId="49ECCFF7" w14:textId="5A746D34" w:rsidR="002E1975" w:rsidRDefault="002E1975" w:rsidP="00F67098">
      <w:pPr>
        <w:pStyle w:val="Brezrazmikov"/>
        <w:jc w:val="both"/>
        <w:rPr>
          <w:lang w:eastAsia="sl-SI"/>
        </w:rPr>
      </w:pPr>
      <w:r w:rsidRPr="00EF6E2D">
        <w:rPr>
          <w:u w:val="single"/>
        </w:rPr>
        <w:t>Obrazložitev</w:t>
      </w:r>
      <w:r w:rsidRPr="002E1975">
        <w:t>:</w:t>
      </w:r>
      <w:r w:rsidR="00F67098">
        <w:t xml:space="preserve"> </w:t>
      </w:r>
      <w:r w:rsidRPr="002E1975">
        <w:rPr>
          <w:lang w:eastAsia="sl-SI"/>
        </w:rPr>
        <w:t xml:space="preserve">Izvedba I. in II. etape, ki vključuje odsek od priključka Dramlje na AC A1 do ceste R3-687 v dolžini 2,7 km, predstavlja funkcionalno zaključeno celoto, ki je časovno z vidika gradnje izvedljiva v tem finančnem obdobju. Da lahko DRSI začne z integralnim postopkom pridobivanja gradbenega dovoljenja za ti dve etapi, potrebuje še PVO in SD OPN. PVO za celotno traso (I., II. in III. etapa) je v teku. SD OPN, ki je potrebna zaradi posegov III. etape izven mej sprejetega prostorskega akta, naj bi bil po napovedih občine sprejet v </w:t>
      </w:r>
      <w:r w:rsidR="004B7A56">
        <w:rPr>
          <w:lang w:eastAsia="sl-SI"/>
        </w:rPr>
        <w:t>juniju</w:t>
      </w:r>
      <w:r w:rsidR="004B7A56" w:rsidRPr="002E1975">
        <w:rPr>
          <w:lang w:eastAsia="sl-SI"/>
        </w:rPr>
        <w:t xml:space="preserve"> </w:t>
      </w:r>
      <w:r w:rsidRPr="002E1975">
        <w:rPr>
          <w:lang w:eastAsia="sl-SI"/>
        </w:rPr>
        <w:t xml:space="preserve">2025 (v recenziji na DRSV je HH študija, sledi razgrnitev). </w:t>
      </w:r>
    </w:p>
    <w:p w14:paraId="5D1D4D2C" w14:textId="77777777" w:rsidR="00DD1E3C" w:rsidRPr="002E1975" w:rsidRDefault="00DD1E3C" w:rsidP="00DD1E3C">
      <w:pPr>
        <w:pStyle w:val="Brezrazmikov"/>
        <w:jc w:val="both"/>
        <w:rPr>
          <w:lang w:eastAsia="sl-SI"/>
        </w:rPr>
      </w:pPr>
    </w:p>
    <w:p w14:paraId="1CF311D9" w14:textId="77777777" w:rsidR="002E1975" w:rsidRPr="002E1975" w:rsidRDefault="002E1975" w:rsidP="00446D40">
      <w:pPr>
        <w:numPr>
          <w:ilvl w:val="0"/>
          <w:numId w:val="18"/>
        </w:numPr>
        <w:spacing w:after="0" w:line="240" w:lineRule="auto"/>
        <w:contextualSpacing/>
        <w:jc w:val="both"/>
        <w:rPr>
          <w:rFonts w:eastAsia="Times New Roman" w:cstheme="minorHAnsi"/>
          <w:kern w:val="0"/>
          <w:szCs w:val="20"/>
          <w:u w:val="single"/>
          <w:lang w:eastAsia="sl-SI"/>
          <w14:ligatures w14:val="none"/>
        </w:rPr>
      </w:pPr>
      <w:r w:rsidRPr="003345C5">
        <w:rPr>
          <w:rFonts w:eastAsia="Times New Roman" w:cstheme="minorHAnsi"/>
          <w:b/>
          <w:bCs/>
          <w:kern w:val="0"/>
          <w:szCs w:val="20"/>
          <w:u w:val="single"/>
          <w:lang w:eastAsia="sl-SI"/>
          <w14:ligatures w14:val="none"/>
        </w:rPr>
        <w:t>V zvezi s tem predlagamo popravek kazalnika učinka RCO44</w:t>
      </w:r>
      <w:r w:rsidRPr="002E1975">
        <w:rPr>
          <w:rFonts w:eastAsia="Times New Roman" w:cstheme="minorHAnsi"/>
          <w:kern w:val="0"/>
          <w:szCs w:val="20"/>
          <w:u w:val="single"/>
          <w:lang w:eastAsia="sl-SI"/>
          <w14:ligatures w14:val="none"/>
        </w:rPr>
        <w:t xml:space="preserve">: Dolžina novih ali nadgrajenih cest – zunaj TEN-T </w:t>
      </w:r>
      <w:r w:rsidRPr="002E1975">
        <w:rPr>
          <w:rFonts w:eastAsia="Times New Roman" w:cstheme="minorHAnsi"/>
          <w:b/>
          <w:bCs/>
          <w:kern w:val="0"/>
          <w:szCs w:val="20"/>
          <w:u w:val="single"/>
          <w:lang w:eastAsia="sl-SI"/>
          <w14:ligatures w14:val="none"/>
        </w:rPr>
        <w:t>(znižanje iz 10,85 km na 7,75 km).</w:t>
      </w:r>
      <w:r w:rsidRPr="002E1975">
        <w:rPr>
          <w:rFonts w:eastAsia="Times New Roman" w:cstheme="minorHAnsi"/>
          <w:kern w:val="0"/>
          <w:szCs w:val="20"/>
          <w:u w:val="single"/>
          <w:lang w:eastAsia="sl-SI"/>
          <w14:ligatures w14:val="none"/>
        </w:rPr>
        <w:t xml:space="preserve"> </w:t>
      </w:r>
    </w:p>
    <w:p w14:paraId="34006083" w14:textId="77777777" w:rsidR="002E1975" w:rsidRPr="002E1975" w:rsidRDefault="002E1975" w:rsidP="002E1975">
      <w:pPr>
        <w:spacing w:after="0" w:line="240" w:lineRule="auto"/>
        <w:ind w:left="708"/>
        <w:rPr>
          <w:rFonts w:eastAsia="Times New Roman" w:cstheme="minorHAnsi"/>
          <w:kern w:val="0"/>
          <w:szCs w:val="20"/>
          <w:lang w:eastAsia="sl-SI"/>
          <w14:ligatures w14:val="none"/>
        </w:rPr>
      </w:pPr>
    </w:p>
    <w:p w14:paraId="0D8361A7" w14:textId="44317B1B" w:rsidR="002E1975" w:rsidRPr="002E1975" w:rsidRDefault="002E1975" w:rsidP="00F67098">
      <w:pPr>
        <w:pStyle w:val="Brezrazmikov"/>
        <w:numPr>
          <w:ilvl w:val="0"/>
          <w:numId w:val="5"/>
        </w:numPr>
        <w:jc w:val="both"/>
      </w:pPr>
      <w:r w:rsidRPr="002E1975">
        <w:t xml:space="preserve">vključitev rezervnih projektov na cestnem omrežju z namenom izboljšanja regionalne mobilnosti s projekti </w:t>
      </w:r>
      <w:r w:rsidRPr="002E1975">
        <w:rPr>
          <w:i/>
        </w:rPr>
        <w:t xml:space="preserve">3. razvojne osi – sever: Velenje-Slovenj Gradec: Sklop B – Škalsko jezero, Sklop C – Škale in Sklop H – </w:t>
      </w:r>
      <w:proofErr w:type="spellStart"/>
      <w:r w:rsidRPr="002E1975">
        <w:rPr>
          <w:i/>
        </w:rPr>
        <w:t>Konovo</w:t>
      </w:r>
      <w:proofErr w:type="spellEnd"/>
      <w:r w:rsidRPr="002E1975">
        <w:t xml:space="preserve"> in izgradnjo že sprojektiranih navezav v prejšnji finančni perspektivi.</w:t>
      </w:r>
    </w:p>
    <w:p w14:paraId="61E247C4" w14:textId="77777777" w:rsidR="00DD1E3C" w:rsidRDefault="00DD1E3C" w:rsidP="00DD1E3C">
      <w:pPr>
        <w:pStyle w:val="Brezrazmikov"/>
      </w:pPr>
    </w:p>
    <w:p w14:paraId="0A5DE12B" w14:textId="2FDB5D55" w:rsidR="002E1975" w:rsidRPr="002E1975" w:rsidRDefault="002E1975" w:rsidP="00F67098">
      <w:pPr>
        <w:pStyle w:val="Brezrazmikov"/>
        <w:jc w:val="both"/>
      </w:pPr>
      <w:r w:rsidRPr="00EF6E2D">
        <w:rPr>
          <w:u w:val="single"/>
        </w:rPr>
        <w:t>Obrazložitev</w:t>
      </w:r>
      <w:r w:rsidRPr="002E1975">
        <w:t>:</w:t>
      </w:r>
      <w:r w:rsidR="00F67098">
        <w:t xml:space="preserve"> </w:t>
      </w:r>
      <w:r w:rsidRPr="002E1975">
        <w:t>Predlagan projekt</w:t>
      </w:r>
      <w:r w:rsidR="002C7183" w:rsidRPr="002C7183">
        <w:t xml:space="preserve"> Velenje-Slovenj Gradec: Sklop B – Škalsko jezero, Sklop C – Škale in Sklop H – </w:t>
      </w:r>
      <w:proofErr w:type="spellStart"/>
      <w:r w:rsidR="002C7183" w:rsidRPr="002C7183">
        <w:t>Konovo</w:t>
      </w:r>
      <w:proofErr w:type="spellEnd"/>
      <w:r w:rsidRPr="002E1975">
        <w:t xml:space="preserve"> je del gradnje 2. odseka hitre ceste 3. razvojne osi-sever na odseku Velenje-Slovenj Gradec, kjer danes glavno povezavo predstavlja glavna cesta I. reda Arja vas-Velenje-Slovenj Gradec-Dravograd. Na večjem delu trase obstoječa glavna cesta nima zadovoljivih tehničnih elementov, ne ustreza potrebam sodobnih daljinskih cestnih povezav ter nima zagotovljene ustrezne prometne varnosti. Glede na to ima ozka grla in nevarne odseke ter zaradi neustreznih tehničnih elementov na mnogih odsekih omogoča le nizko potovalno hitrost. </w:t>
      </w:r>
    </w:p>
    <w:p w14:paraId="12B96BA6" w14:textId="77777777" w:rsidR="00DD1E3C" w:rsidRDefault="00DD1E3C" w:rsidP="00DD1E3C">
      <w:pPr>
        <w:pStyle w:val="Brezrazmikov"/>
      </w:pPr>
    </w:p>
    <w:p w14:paraId="4E93F594" w14:textId="79216F58" w:rsidR="002E1975" w:rsidRPr="002E1975" w:rsidRDefault="002E1975" w:rsidP="00DD1E3C">
      <w:pPr>
        <w:pStyle w:val="Brezrazmikov"/>
        <w:jc w:val="both"/>
      </w:pPr>
      <w:r w:rsidRPr="002E1975">
        <w:t xml:space="preserve">Projektna, investicijska in </w:t>
      </w:r>
      <w:proofErr w:type="spellStart"/>
      <w:r w:rsidRPr="002E1975">
        <w:t>okoljska</w:t>
      </w:r>
      <w:proofErr w:type="spellEnd"/>
      <w:r w:rsidRPr="002E1975">
        <w:t xml:space="preserve"> dokumentacija za naveden odsek je izdelana; razen tega je bila izdelava projektne dokumentacije za naveden odsek sofinancirana iz sredstev EKP 2014-2020. Projekt ima zelo visoko stopnjo zrelosti, saj sta sklopa B in H že v izvedbi (predviden zaključek del in predaja v promet je v l. 2026), medtem ko je začetek izvedbenih del na sklopu C predviden v sredini leta 2025. </w:t>
      </w:r>
    </w:p>
    <w:p w14:paraId="1D410922" w14:textId="77777777" w:rsidR="002E1975" w:rsidRPr="002E1975" w:rsidRDefault="002E1975" w:rsidP="00B7500A">
      <w:pPr>
        <w:pStyle w:val="Brezrazmikov"/>
      </w:pPr>
    </w:p>
    <w:p w14:paraId="63081313" w14:textId="39EDB456" w:rsidR="002E1975" w:rsidRPr="002E1975" w:rsidRDefault="002E1975" w:rsidP="00DD1E3C">
      <w:pPr>
        <w:pStyle w:val="Brezrazmikov"/>
        <w:jc w:val="both"/>
        <w:rPr>
          <w:szCs w:val="20"/>
        </w:rPr>
      </w:pPr>
      <w:r w:rsidRPr="002E1975">
        <w:rPr>
          <w:szCs w:val="20"/>
        </w:rPr>
        <w:lastRenderedPageBreak/>
        <w:t>S</w:t>
      </w:r>
      <w:r w:rsidRPr="002E1975">
        <w:t xml:space="preserve">ofinanciranje izvedbe navedenega rezervnega projekta iz EKP sredstev bi lahko bistveno vplivalo na višino </w:t>
      </w:r>
      <w:r w:rsidR="004C5D8A">
        <w:t>korišče</w:t>
      </w:r>
      <w:r w:rsidRPr="002E1975">
        <w:t xml:space="preserve">nja EU sredstev v l. 2025 in 2026, </w:t>
      </w:r>
      <w:r w:rsidRPr="002E1975">
        <w:rPr>
          <w:b/>
          <w:bCs/>
          <w:u w:val="single"/>
        </w:rPr>
        <w:t xml:space="preserve">in sicer predvidevamo dodatno </w:t>
      </w:r>
      <w:r w:rsidR="004C5D8A">
        <w:rPr>
          <w:b/>
          <w:bCs/>
          <w:u w:val="single"/>
        </w:rPr>
        <w:t>korišče</w:t>
      </w:r>
      <w:r w:rsidRPr="002E1975">
        <w:rPr>
          <w:b/>
          <w:bCs/>
          <w:u w:val="single"/>
        </w:rPr>
        <w:t>nje v višini 44,36 mio EUR EU sredstev</w:t>
      </w:r>
      <w:r w:rsidRPr="002E1975">
        <w:t xml:space="preserve"> v navedenih dveh letih izključno s sofinanciranjem Sklopov B in H.</w:t>
      </w:r>
    </w:p>
    <w:p w14:paraId="47D0A2CF" w14:textId="77777777" w:rsidR="002E1975" w:rsidRPr="002E1975" w:rsidRDefault="002E1975" w:rsidP="00B7500A">
      <w:pPr>
        <w:pStyle w:val="Brezrazmikov"/>
      </w:pPr>
    </w:p>
    <w:p w14:paraId="2A02B00C" w14:textId="5DDCC6D8" w:rsidR="002E1975" w:rsidRDefault="002E1975" w:rsidP="00DD1E3C">
      <w:pPr>
        <w:pStyle w:val="Brezrazmikov"/>
        <w:jc w:val="both"/>
      </w:pPr>
      <w:r w:rsidRPr="002E1975">
        <w:t>Na osnovi uskladitve Programa EKP 21</w:t>
      </w:r>
      <w:r w:rsidR="009E770A" w:rsidRPr="009E770A">
        <w:t>–</w:t>
      </w:r>
      <w:r w:rsidRPr="002E1975">
        <w:t>27 z Merili za izbor operacij v okviru programa evropske kohezijske politike v obdobju 2021–2027 v Sloveniji prav tako predlagamo, da se na Specifičnem cilj 3.1 in 3.2 briše navedba glede skladnosti izvajanja ukrepov s pobudo Novi evropski Bauhaus.</w:t>
      </w:r>
    </w:p>
    <w:p w14:paraId="564BD946" w14:textId="77777777" w:rsidR="00A563A8" w:rsidRDefault="00A563A8" w:rsidP="00DD1E3C">
      <w:pPr>
        <w:pStyle w:val="Brezrazmikov"/>
        <w:jc w:val="both"/>
      </w:pPr>
    </w:p>
    <w:p w14:paraId="2BFDDC9C" w14:textId="196241B2" w:rsidR="00A563A8" w:rsidRDefault="00B955E4" w:rsidP="00A563A8">
      <w:pPr>
        <w:pStyle w:val="Brezrazmikov"/>
        <w:numPr>
          <w:ilvl w:val="0"/>
          <w:numId w:val="5"/>
        </w:numPr>
        <w:jc w:val="both"/>
      </w:pPr>
      <w:r>
        <w:t>N</w:t>
      </w:r>
      <w:r w:rsidR="00A563A8">
        <w:t>ižanje</w:t>
      </w:r>
      <w:r>
        <w:t xml:space="preserve"> sredstev na ukrepu </w:t>
      </w:r>
      <w:r w:rsidRPr="00B955E4">
        <w:t>Spodbujanje trajnostne mobilnosti na horizontalni</w:t>
      </w:r>
      <w:r>
        <w:t xml:space="preserve"> ravni in prenos na RSO2.4</w:t>
      </w:r>
    </w:p>
    <w:p w14:paraId="017D031F" w14:textId="77777777" w:rsidR="00B955E4" w:rsidRDefault="00B955E4" w:rsidP="00B955E4">
      <w:pPr>
        <w:pStyle w:val="Brezrazmikov"/>
        <w:jc w:val="both"/>
      </w:pPr>
    </w:p>
    <w:p w14:paraId="44ABB1A8" w14:textId="0EA6DBD7" w:rsidR="00B955E4" w:rsidRDefault="00B955E4" w:rsidP="00B955E4">
      <w:pPr>
        <w:pStyle w:val="Brezrazmikov"/>
        <w:jc w:val="both"/>
        <w:rPr>
          <w:i/>
          <w:iCs/>
        </w:rPr>
      </w:pPr>
      <w:r w:rsidRPr="000B3E1A">
        <w:rPr>
          <w:u w:val="single"/>
        </w:rPr>
        <w:t>Obrazložitev</w:t>
      </w:r>
      <w:r>
        <w:t>:</w:t>
      </w:r>
      <w:r w:rsidR="00F67098">
        <w:t xml:space="preserve"> </w:t>
      </w:r>
      <w:r>
        <w:t xml:space="preserve">Z namenom pospešitve črpanja se prenesejo sredstva </w:t>
      </w:r>
      <w:r w:rsidRPr="00B955E4">
        <w:t>iz ukrepa Spodbujanje trajnostne mobilnosti na horizontalni ravni v višini 11,4 mio EUR (od tega 9,7 mio EUR EU del in 1,7 mio EUR SI del)</w:t>
      </w:r>
      <w:r>
        <w:t xml:space="preserve"> na RSO2.4. za namene projekta </w:t>
      </w:r>
      <w:r w:rsidRPr="000B3E1A">
        <w:rPr>
          <w:i/>
          <w:iCs/>
        </w:rPr>
        <w:t>Nadgradnja sistema za opozarjanje in osveščanje na vremensko pogojene izredne razmere ter prilagajanje nanje v spremenjenem podnebju – SOVIR</w:t>
      </w:r>
      <w:r>
        <w:rPr>
          <w:i/>
          <w:iCs/>
        </w:rPr>
        <w:t xml:space="preserve">. </w:t>
      </w:r>
    </w:p>
    <w:p w14:paraId="15B34C49" w14:textId="77777777" w:rsidR="00B955E4" w:rsidRPr="00B955E4" w:rsidRDefault="00B955E4" w:rsidP="00B955E4">
      <w:pPr>
        <w:pStyle w:val="Brezrazmikov"/>
        <w:jc w:val="both"/>
      </w:pPr>
    </w:p>
    <w:p w14:paraId="66CEC842" w14:textId="77777777" w:rsidR="00094BD6" w:rsidRDefault="00094BD6">
      <w:pPr>
        <w:rPr>
          <w:rFonts w:eastAsiaTheme="majorEastAsia" w:cstheme="majorBidi"/>
          <w:color w:val="4472C4" w:themeColor="accent1"/>
          <w:sz w:val="24"/>
          <w:szCs w:val="26"/>
        </w:rPr>
      </w:pPr>
      <w:bookmarkStart w:id="142" w:name="_Toc187154475"/>
      <w:bookmarkStart w:id="143" w:name="_Toc191383871"/>
      <w:r>
        <w:br w:type="page"/>
      </w:r>
    </w:p>
    <w:p w14:paraId="640894D8" w14:textId="5DB43E81" w:rsidR="002E1975" w:rsidRPr="003345C5" w:rsidRDefault="002E1975" w:rsidP="00076FA4">
      <w:pPr>
        <w:pStyle w:val="Naslov2"/>
        <w:numPr>
          <w:ilvl w:val="1"/>
          <w:numId w:val="2"/>
        </w:numPr>
      </w:pPr>
      <w:r w:rsidRPr="002E1975">
        <w:lastRenderedPageBreak/>
        <w:t xml:space="preserve">Cilj politike 4: Bolj socialna in vključujoča Slovenija za izvajanje evropskega </w:t>
      </w:r>
      <w:r w:rsidRPr="003345C5">
        <w:t>stebra socialnih pravic</w:t>
      </w:r>
      <w:bookmarkEnd w:id="142"/>
      <w:bookmarkEnd w:id="143"/>
      <w:r w:rsidRPr="003345C5" w:rsidDel="004D585D">
        <w:t xml:space="preserve"> </w:t>
      </w:r>
    </w:p>
    <w:p w14:paraId="365CC6C1" w14:textId="77777777" w:rsidR="003E1090" w:rsidRPr="003345C5" w:rsidRDefault="003E1090" w:rsidP="003E1090">
      <w:pPr>
        <w:spacing w:after="0"/>
        <w:rPr>
          <w:color w:val="4472C4" w:themeColor="accent1"/>
        </w:rPr>
      </w:pPr>
    </w:p>
    <w:p w14:paraId="38431077" w14:textId="703E8F51" w:rsidR="002E1975" w:rsidRPr="003345C5" w:rsidRDefault="002E1975" w:rsidP="00446D40">
      <w:pPr>
        <w:pStyle w:val="Naslov3"/>
        <w:numPr>
          <w:ilvl w:val="2"/>
          <w:numId w:val="2"/>
        </w:numPr>
        <w:rPr>
          <w:color w:val="4472C4" w:themeColor="accent1"/>
        </w:rPr>
      </w:pPr>
      <w:bookmarkStart w:id="144" w:name="_Toc187153012"/>
      <w:bookmarkStart w:id="145" w:name="_Toc187153879"/>
      <w:bookmarkStart w:id="146" w:name="_Toc187154476"/>
      <w:bookmarkStart w:id="147" w:name="_Toc187142939"/>
      <w:bookmarkStart w:id="148" w:name="_Toc187145491"/>
      <w:bookmarkStart w:id="149" w:name="_Toc187148854"/>
      <w:bookmarkStart w:id="150" w:name="_Toc187150257"/>
      <w:bookmarkStart w:id="151" w:name="_Toc187150515"/>
      <w:bookmarkStart w:id="152" w:name="_Toc187150602"/>
      <w:bookmarkStart w:id="153" w:name="_Toc187151285"/>
      <w:bookmarkStart w:id="154" w:name="_Toc187151425"/>
      <w:bookmarkStart w:id="155" w:name="_Toc187151546"/>
      <w:bookmarkStart w:id="156" w:name="_Toc187151681"/>
      <w:bookmarkStart w:id="157" w:name="_Toc187151894"/>
      <w:bookmarkStart w:id="158" w:name="_Toc187152830"/>
      <w:bookmarkStart w:id="159" w:name="_Toc187153013"/>
      <w:bookmarkStart w:id="160" w:name="_Toc187153880"/>
      <w:bookmarkStart w:id="161" w:name="_Toc187154477"/>
      <w:bookmarkStart w:id="162" w:name="_Toc187148855"/>
      <w:bookmarkStart w:id="163" w:name="_Toc187150258"/>
      <w:bookmarkStart w:id="164" w:name="_Toc187150516"/>
      <w:bookmarkStart w:id="165" w:name="_Toc187150603"/>
      <w:bookmarkStart w:id="166" w:name="_Toc187151286"/>
      <w:bookmarkStart w:id="167" w:name="_Toc187151426"/>
      <w:bookmarkStart w:id="168" w:name="_Toc187151547"/>
      <w:bookmarkStart w:id="169" w:name="_Toc187151682"/>
      <w:bookmarkStart w:id="170" w:name="_Toc187151895"/>
      <w:bookmarkStart w:id="171" w:name="_Toc187152831"/>
      <w:bookmarkStart w:id="172" w:name="_Toc187153014"/>
      <w:bookmarkStart w:id="173" w:name="_Toc187153881"/>
      <w:bookmarkStart w:id="174" w:name="_Toc187154478"/>
      <w:bookmarkStart w:id="175" w:name="_Toc187148856"/>
      <w:bookmarkStart w:id="176" w:name="_Toc187149595"/>
      <w:bookmarkStart w:id="177" w:name="_Toc187150259"/>
      <w:bookmarkStart w:id="178" w:name="_Toc187150517"/>
      <w:bookmarkStart w:id="179" w:name="_Toc187150604"/>
      <w:bookmarkStart w:id="180" w:name="_Toc187151287"/>
      <w:bookmarkStart w:id="181" w:name="_Toc187151427"/>
      <w:bookmarkStart w:id="182" w:name="_Toc187151548"/>
      <w:bookmarkStart w:id="183" w:name="_Toc187151683"/>
      <w:bookmarkStart w:id="184" w:name="_Toc187151896"/>
      <w:bookmarkStart w:id="185" w:name="_Toc187152832"/>
      <w:bookmarkStart w:id="186" w:name="_Toc187153015"/>
      <w:bookmarkStart w:id="187" w:name="_Toc187153882"/>
      <w:bookmarkStart w:id="188" w:name="_Toc187154479"/>
      <w:bookmarkStart w:id="189" w:name="_Toc187154480"/>
      <w:bookmarkStart w:id="190" w:name="_Toc191383872"/>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3345C5">
        <w:rPr>
          <w:color w:val="4472C4" w:themeColor="accent1"/>
        </w:rPr>
        <w:t>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bookmarkEnd w:id="189"/>
      <w:bookmarkEnd w:id="190"/>
    </w:p>
    <w:p w14:paraId="7FDB7194" w14:textId="77777777" w:rsidR="002E1975" w:rsidRPr="002E1975" w:rsidRDefault="002E1975" w:rsidP="002E1975">
      <w:pPr>
        <w:autoSpaceDE w:val="0"/>
        <w:autoSpaceDN w:val="0"/>
        <w:adjustRightInd w:val="0"/>
        <w:spacing w:after="0" w:line="240" w:lineRule="auto"/>
        <w:rPr>
          <w:rFonts w:cstheme="minorHAnsi"/>
          <w:b/>
          <w:bCs/>
          <w:kern w:val="0"/>
          <w:highlight w:val="green"/>
        </w:rPr>
      </w:pPr>
    </w:p>
    <w:p w14:paraId="20A13E7E" w14:textId="77777777" w:rsidR="002E1975" w:rsidRPr="003E1090" w:rsidRDefault="002E1975" w:rsidP="00446D40">
      <w:pPr>
        <w:numPr>
          <w:ilvl w:val="0"/>
          <w:numId w:val="19"/>
        </w:numPr>
        <w:autoSpaceDE w:val="0"/>
        <w:autoSpaceDN w:val="0"/>
        <w:adjustRightInd w:val="0"/>
        <w:spacing w:after="0" w:line="240" w:lineRule="auto"/>
        <w:contextualSpacing/>
        <w:rPr>
          <w:rFonts w:cstheme="minorHAnsi"/>
          <w:kern w:val="0"/>
        </w:rPr>
      </w:pPr>
      <w:r w:rsidRPr="003345C5">
        <w:rPr>
          <w:rFonts w:cstheme="minorHAnsi"/>
          <w:b/>
          <w:bCs/>
          <w:kern w:val="0"/>
          <w:u w:val="single"/>
        </w:rPr>
        <w:t>Sprememba opisa ukrepa</w:t>
      </w:r>
      <w:r w:rsidRPr="003E1090">
        <w:rPr>
          <w:rFonts w:cstheme="minorHAnsi"/>
          <w:kern w:val="0"/>
        </w:rPr>
        <w:t xml:space="preserve">, kjer se besedilo: </w:t>
      </w:r>
    </w:p>
    <w:p w14:paraId="64E727D6" w14:textId="77777777" w:rsidR="002E1975" w:rsidRPr="003E1090" w:rsidRDefault="002E1975" w:rsidP="002E1975">
      <w:pPr>
        <w:autoSpaceDE w:val="0"/>
        <w:autoSpaceDN w:val="0"/>
        <w:adjustRightInd w:val="0"/>
        <w:spacing w:after="0" w:line="240" w:lineRule="auto"/>
        <w:rPr>
          <w:rFonts w:cstheme="minorHAnsi"/>
          <w:kern w:val="0"/>
        </w:rPr>
      </w:pPr>
    </w:p>
    <w:p w14:paraId="12F02233" w14:textId="77777777" w:rsidR="002E1975" w:rsidRPr="003E1090" w:rsidRDefault="002E1975" w:rsidP="002E1975">
      <w:pPr>
        <w:autoSpaceDE w:val="0"/>
        <w:autoSpaceDN w:val="0"/>
        <w:adjustRightInd w:val="0"/>
        <w:spacing w:after="0" w:line="240" w:lineRule="auto"/>
        <w:jc w:val="both"/>
        <w:rPr>
          <w:rFonts w:cstheme="minorHAnsi"/>
          <w:kern w:val="0"/>
        </w:rPr>
      </w:pPr>
      <w:r w:rsidRPr="003E1090">
        <w:rPr>
          <w:rFonts w:cstheme="minorHAnsi"/>
          <w:kern w:val="0"/>
        </w:rPr>
        <w:t xml:space="preserve">»…. </w:t>
      </w:r>
      <w:r w:rsidRPr="003E1090">
        <w:rPr>
          <w:rFonts w:cstheme="minorHAnsi"/>
          <w:i/>
          <w:iCs/>
          <w:kern w:val="0"/>
        </w:rPr>
        <w:t>Prioritetno bodo naslovljena področja pomanjkanja kadrov, predvsem strokovnih delavcev v vzgoji in izobraževanje ter STEAM poklicev, kar opozarja tudi Evropska komisija v Poročilu o Sloveniji 2022 (</w:t>
      </w:r>
      <w:proofErr w:type="spellStart"/>
      <w:r w:rsidRPr="003E1090">
        <w:rPr>
          <w:rFonts w:cstheme="minorHAnsi"/>
          <w:i/>
          <w:iCs/>
          <w:kern w:val="0"/>
        </w:rPr>
        <w:t>Country</w:t>
      </w:r>
      <w:proofErr w:type="spellEnd"/>
      <w:r w:rsidRPr="003E1090">
        <w:rPr>
          <w:rFonts w:cstheme="minorHAnsi"/>
          <w:i/>
          <w:iCs/>
          <w:kern w:val="0"/>
        </w:rPr>
        <w:t xml:space="preserve"> </w:t>
      </w:r>
      <w:proofErr w:type="spellStart"/>
      <w:r w:rsidRPr="003E1090">
        <w:rPr>
          <w:rFonts w:cstheme="minorHAnsi"/>
          <w:i/>
          <w:iCs/>
          <w:kern w:val="0"/>
        </w:rPr>
        <w:t>Report</w:t>
      </w:r>
      <w:proofErr w:type="spellEnd"/>
      <w:r w:rsidRPr="003E1090">
        <w:rPr>
          <w:rFonts w:cstheme="minorHAnsi"/>
          <w:i/>
          <w:iCs/>
          <w:kern w:val="0"/>
        </w:rPr>
        <w:t xml:space="preserve"> - </w:t>
      </w:r>
      <w:proofErr w:type="spellStart"/>
      <w:r w:rsidRPr="003E1090">
        <w:rPr>
          <w:rFonts w:cstheme="minorHAnsi"/>
          <w:i/>
          <w:iCs/>
          <w:kern w:val="0"/>
        </w:rPr>
        <w:t>Slovenia</w:t>
      </w:r>
      <w:proofErr w:type="spellEnd"/>
      <w:r w:rsidRPr="003E1090">
        <w:rPr>
          <w:rFonts w:cstheme="minorHAnsi"/>
          <w:i/>
          <w:iCs/>
          <w:kern w:val="0"/>
        </w:rPr>
        <w:t xml:space="preserve">). Podatki o starostni strukturi učiteljev namreč kažejo, da je starejših od 50 let ena tretjina osnovnošolskih učiteljev in kar polovica srednješolskih učiteljev, zato bo v naslednjih 15 letih treba nadomestiti več kot tretjino učiteljev v osnovnih in srednjih šolah. Na podeželskih območjih pa že primanjkuje učiteljev predmetov kot so naravoslovje, tehnologija, inženirstvo in matematika. Začetno usposabljanje zaposlenih v vzgoji in izobraževanju je pri tem ključnega pomena. </w:t>
      </w:r>
      <w:r w:rsidRPr="003E1090">
        <w:rPr>
          <w:rFonts w:cstheme="minorHAnsi"/>
          <w:kern w:val="0"/>
        </w:rPr>
        <w:t>…« nadomesti z besedilom</w:t>
      </w:r>
    </w:p>
    <w:p w14:paraId="215CAFC2" w14:textId="77777777" w:rsidR="002E1975" w:rsidRPr="003E1090" w:rsidRDefault="002E1975" w:rsidP="002E1975">
      <w:pPr>
        <w:autoSpaceDE w:val="0"/>
        <w:autoSpaceDN w:val="0"/>
        <w:adjustRightInd w:val="0"/>
        <w:spacing w:after="0" w:line="240" w:lineRule="auto"/>
        <w:rPr>
          <w:rFonts w:cstheme="minorHAnsi"/>
          <w:kern w:val="0"/>
        </w:rPr>
      </w:pPr>
    </w:p>
    <w:p w14:paraId="7BCF65E9" w14:textId="77777777" w:rsidR="002E1975" w:rsidRPr="003E1090" w:rsidRDefault="002E1975" w:rsidP="002E1975">
      <w:pPr>
        <w:autoSpaceDE w:val="0"/>
        <w:autoSpaceDN w:val="0"/>
        <w:adjustRightInd w:val="0"/>
        <w:spacing w:after="0" w:line="240" w:lineRule="auto"/>
        <w:jc w:val="both"/>
        <w:rPr>
          <w:rFonts w:cstheme="minorHAnsi"/>
          <w:kern w:val="0"/>
        </w:rPr>
      </w:pPr>
      <w:r w:rsidRPr="003E1090">
        <w:rPr>
          <w:rFonts w:cstheme="minorHAnsi"/>
          <w:kern w:val="0"/>
        </w:rPr>
        <w:t>»…</w:t>
      </w:r>
      <w:r w:rsidRPr="003E1090">
        <w:rPr>
          <w:rFonts w:cstheme="minorHAnsi"/>
          <w:i/>
          <w:iCs/>
          <w:kern w:val="0"/>
        </w:rPr>
        <w:t>Investicije v objekte in infrastrukturo imajo pomemben vpliv na izboljšanje kakovosti izobraževalnega procesa. Sodobni prostori, napredna tehnologija in fleksibilna infrastruktura omogočajo, da študenti pridobijo praktične izkušnje, dostopajo do najboljših raziskovalnih zmogljivosti ter se vključijo v globalno skupnost znanja. Hkrati takšne naložbe krepijo povezave med univerzami in gospodarstvom ter prispevajo k trajnostnemu in odpornemu izobraževalnemu sistemu, ki se lahko uspešno prilagaja prihodnjim izzivom</w:t>
      </w:r>
      <w:r w:rsidRPr="003E1090">
        <w:rPr>
          <w:rFonts w:cstheme="minorHAnsi"/>
          <w:kern w:val="0"/>
        </w:rPr>
        <w:t>. …«</w:t>
      </w:r>
    </w:p>
    <w:p w14:paraId="62B44ABB" w14:textId="77777777" w:rsidR="00AE1928" w:rsidRPr="00AE1928" w:rsidRDefault="00AE1928" w:rsidP="00AE1928">
      <w:pPr>
        <w:autoSpaceDE w:val="0"/>
        <w:autoSpaceDN w:val="0"/>
        <w:adjustRightInd w:val="0"/>
        <w:spacing w:after="0" w:line="240" w:lineRule="auto"/>
        <w:jc w:val="both"/>
        <w:rPr>
          <w:rFonts w:cstheme="minorHAnsi"/>
          <w:kern w:val="0"/>
        </w:rPr>
      </w:pPr>
      <w:r w:rsidRPr="00AE1928">
        <w:rPr>
          <w:rFonts w:cstheme="minorHAnsi"/>
          <w:kern w:val="0"/>
        </w:rPr>
        <w:t>Tako, da se opis celotnega ukrepa glasi :</w:t>
      </w:r>
    </w:p>
    <w:p w14:paraId="39A3D242" w14:textId="77777777" w:rsidR="00AE1928" w:rsidRPr="00AE1928" w:rsidRDefault="00AE1928" w:rsidP="00AE1928">
      <w:pPr>
        <w:autoSpaceDE w:val="0"/>
        <w:autoSpaceDN w:val="0"/>
        <w:adjustRightInd w:val="0"/>
        <w:spacing w:after="0" w:line="240" w:lineRule="auto"/>
        <w:jc w:val="both"/>
        <w:rPr>
          <w:rFonts w:cstheme="minorHAnsi"/>
          <w:kern w:val="0"/>
        </w:rPr>
      </w:pPr>
      <w:r w:rsidRPr="00AE1928">
        <w:rPr>
          <w:rFonts w:cstheme="minorHAnsi"/>
          <w:kern w:val="0"/>
        </w:rPr>
        <w:t xml:space="preserve">»investicije v obstoječe in nove objekte s področja izobraževanja in usposabljanja, ki bodo omogočili posodobitev zastarelega stavbnega fonda na tem področju ter zagotovile dodatne kapacitete za dijake, študente, učitelje in strokovne delavce, s čimer bodo izpolnjene sodobne zahteve izobraževalnega procesa in usposabljanja, krepitve multidisciplinarnega izobraževanja ter razvoja inovativnih kadrov, ob projektnem in ciljno usmerjenem izobraževalnemu delu. Stavbni fond izobraževalnih institucij je namreč izredno velik in potrebe so zelo velike, zato so sredstva za zagotovitev fizičnih pogojev za izvajanje izobraževalnega procesa nujno potrebna. Predvidene so naložbe v kritično izobraževalno in visokošolsko infrastrukturo, ki pa ima pomemben </w:t>
      </w:r>
      <w:proofErr w:type="spellStart"/>
      <w:r w:rsidRPr="00AE1928">
        <w:rPr>
          <w:rFonts w:cstheme="minorHAnsi"/>
          <w:kern w:val="0"/>
        </w:rPr>
        <w:t>multiplikacijski</w:t>
      </w:r>
      <w:proofErr w:type="spellEnd"/>
      <w:r w:rsidRPr="00AE1928">
        <w:rPr>
          <w:rFonts w:cstheme="minorHAnsi"/>
          <w:kern w:val="0"/>
        </w:rPr>
        <w:t xml:space="preserve"> učinek, saj prispeva k izboljšanju kakovosti izobraževalnega procesa in krepitvi odpornosti izobraževalnega sistema. Naložbe bodo skladne s Strategijo ozelenitve izobraževalne in raziskovalne infrastrukture, ki bo pripravljena v okviru reforme NOO do konca leta 2022, s čimer bomo prispevali k zelenemu prehodu. </w:t>
      </w:r>
    </w:p>
    <w:p w14:paraId="5CC5FE26" w14:textId="77777777" w:rsidR="00AE1928" w:rsidRPr="00AE1928" w:rsidRDefault="00AE1928" w:rsidP="00AE1928">
      <w:pPr>
        <w:autoSpaceDE w:val="0"/>
        <w:autoSpaceDN w:val="0"/>
        <w:adjustRightInd w:val="0"/>
        <w:spacing w:after="0" w:line="240" w:lineRule="auto"/>
        <w:jc w:val="both"/>
        <w:rPr>
          <w:rFonts w:cstheme="minorHAnsi"/>
          <w:kern w:val="0"/>
        </w:rPr>
      </w:pPr>
    </w:p>
    <w:p w14:paraId="32B3DF48" w14:textId="77777777" w:rsidR="00AE1928" w:rsidRPr="00AE1928" w:rsidRDefault="00AE1928" w:rsidP="00AE1928">
      <w:pPr>
        <w:autoSpaceDE w:val="0"/>
        <w:autoSpaceDN w:val="0"/>
        <w:adjustRightInd w:val="0"/>
        <w:spacing w:after="0" w:line="240" w:lineRule="auto"/>
        <w:jc w:val="both"/>
        <w:rPr>
          <w:rFonts w:cstheme="minorHAnsi"/>
          <w:kern w:val="0"/>
        </w:rPr>
      </w:pPr>
      <w:r w:rsidRPr="00AE1928">
        <w:rPr>
          <w:rFonts w:cstheme="minorHAnsi"/>
          <w:kern w:val="0"/>
        </w:rPr>
        <w:t>Investicije v objekte in infrastrukturo imajo pomemben vpliv na izboljšanje kakovosti izobraževalnega procesa. Sodobni prostori, napredna tehnologija in fleksibilna infrastruktura omogočajo, da študenti pridobijo praktične izkušnje, dostopajo do najboljših raziskovalnih zmogljivosti ter se vključijo v globalno skupnost znanja. Hkrati takšne naložbe krepijo povezave med univerzami in gospodarstvom ter prispevajo k trajnostnemu in odpornemu izobraževalnemu sistemu, ki se lahko uspešno prilagaja prihodnjim izzivom.</w:t>
      </w:r>
    </w:p>
    <w:p w14:paraId="3989A114" w14:textId="77777777" w:rsidR="00AE1928" w:rsidRPr="00AE1928" w:rsidRDefault="00AE1928" w:rsidP="00AE1928">
      <w:pPr>
        <w:autoSpaceDE w:val="0"/>
        <w:autoSpaceDN w:val="0"/>
        <w:adjustRightInd w:val="0"/>
        <w:spacing w:after="0" w:line="240" w:lineRule="auto"/>
        <w:jc w:val="both"/>
        <w:rPr>
          <w:rFonts w:cstheme="minorHAnsi"/>
          <w:kern w:val="0"/>
        </w:rPr>
      </w:pPr>
    </w:p>
    <w:p w14:paraId="5E85A3F0" w14:textId="378A94C2" w:rsidR="002E1975" w:rsidRDefault="751E899B" w:rsidP="21436E93">
      <w:pPr>
        <w:autoSpaceDE w:val="0"/>
        <w:autoSpaceDN w:val="0"/>
        <w:adjustRightInd w:val="0"/>
        <w:spacing w:after="0" w:line="240" w:lineRule="auto"/>
        <w:jc w:val="both"/>
      </w:pPr>
      <w:r w:rsidRPr="21436E93">
        <w:rPr>
          <w:kern w:val="0"/>
        </w:rPr>
        <w:t xml:space="preserve">V skladu z navedenim so prednostno predlagana vlaganja v izobraževalno infrastrukturo Univerze v Mariboru kot del inovacijske platforme </w:t>
      </w:r>
      <w:proofErr w:type="spellStart"/>
      <w:r w:rsidRPr="21436E93">
        <w:rPr>
          <w:kern w:val="0"/>
        </w:rPr>
        <w:t>Innovum</w:t>
      </w:r>
      <w:proofErr w:type="spellEnd"/>
      <w:r w:rsidRPr="21436E93">
        <w:rPr>
          <w:kern w:val="0"/>
        </w:rPr>
        <w:t>.</w:t>
      </w:r>
      <w:r w:rsidR="167FCE97" w:rsidRPr="24D49764">
        <w:rPr>
          <w:rFonts w:eastAsia="Arial" w:cs="Arial"/>
        </w:rPr>
        <w:t xml:space="preserve"> Ob tem je nujno za celovito izvedbo in realizacijo inovacijske platforme </w:t>
      </w:r>
      <w:proofErr w:type="spellStart"/>
      <w:r w:rsidR="167FCE97" w:rsidRPr="24D49764">
        <w:rPr>
          <w:rFonts w:eastAsia="Arial" w:cs="Arial"/>
        </w:rPr>
        <w:t>Innovum</w:t>
      </w:r>
      <w:proofErr w:type="spellEnd"/>
      <w:r w:rsidR="167FCE97" w:rsidRPr="24D49764">
        <w:rPr>
          <w:rFonts w:eastAsia="Arial" w:cs="Arial"/>
        </w:rPr>
        <w:t>, izvesti razvojni projekt »</w:t>
      </w:r>
      <w:r w:rsidR="167FCE97" w:rsidRPr="24D49764">
        <w:rPr>
          <w:rFonts w:eastAsia="Arial" w:cs="Arial"/>
          <w:b/>
          <w:bCs/>
          <w:lang w:val="pl"/>
        </w:rPr>
        <w:t>Prizidava in rekonstrukcija III. gimnazije Maribor.</w:t>
      </w:r>
      <w:r w:rsidRPr="21436E93">
        <w:rPr>
          <w:kern w:val="0"/>
        </w:rPr>
        <w:t xml:space="preserve"> Sredstva so v celoti načrtovana v Vzhodni kohezijski regiji, ki je zaznamovana z demografskimi, socialnimi in ekonomskimi razmerami, ki ovirajo razvoj potenciala regije. Z vlaganji v izobraževalno infrastrukturo bodo ustvarjeni kot rečeno ustrezni nujni pogoji za multiplikativne učinke, kar bo vplivalo na zmanjševanje razvojnega zaostanka KRVS. Gre za investicije, ki bodo imele </w:t>
      </w:r>
      <w:proofErr w:type="spellStart"/>
      <w:r w:rsidRPr="21436E93">
        <w:rPr>
          <w:kern w:val="0"/>
        </w:rPr>
        <w:t>sinergijske</w:t>
      </w:r>
      <w:proofErr w:type="spellEnd"/>
      <w:r w:rsidRPr="21436E93">
        <w:rPr>
          <w:kern w:val="0"/>
        </w:rPr>
        <w:t xml:space="preserve"> učinke s predlogi investicij v okviru SC RSO1.1, s čimer bo ustvarjeno celovito podporno okolje za soočanje z izzivi družbe tako na področju izobraževanja kot tudi raziskav in razvoja. Kolikor bo relevantno, bo izvajanje ukrepov skladno s pobudo Novi evropski Bauhaus za uspešno povezovanje načela trajnosti, estetike in vključevanja, da bi našli dostopne, vključujoče, trajnostne in privlačne rešitve za podnebne izzive. Z vlaganji v razvoj javne izobraževalne infrastrukture 184 bomo, skladno z Zakonom </w:t>
      </w:r>
      <w:r w:rsidRPr="21436E93">
        <w:rPr>
          <w:kern w:val="0"/>
        </w:rPr>
        <w:lastRenderedPageBreak/>
        <w:t xml:space="preserve">o organizaciji in financiranju vzgoje in izobraževanja162 ter Resolucijo o nacionalnem programu visokega šolstva do 2030163, prispevali k ukrepom za doseganje strateških ciljev na področju kakovosti, ki so še posebej usmerjeni v uveljavljanje tematike solidarnosti, kakovosti dela, socialne varnosti, družbene kohezije, vključevanja ranljivih ter obrobnih skupin, </w:t>
      </w:r>
      <w:proofErr w:type="spellStart"/>
      <w:r w:rsidRPr="21436E93">
        <w:rPr>
          <w:kern w:val="0"/>
        </w:rPr>
        <w:t>nediskriminatornosti</w:t>
      </w:r>
      <w:proofErr w:type="spellEnd"/>
      <w:r w:rsidRPr="21436E93">
        <w:rPr>
          <w:kern w:val="0"/>
        </w:rPr>
        <w:t xml:space="preserve"> in podobnega. Ukrep je komplementaren z ukrepoma na področju krepitve ustreznosti izobraževalnega sistema za trg dela na SC ESO4.5;«</w:t>
      </w:r>
    </w:p>
    <w:p w14:paraId="72A8AB2D" w14:textId="77777777" w:rsidR="00AE1928" w:rsidRPr="003E1090" w:rsidRDefault="00AE1928" w:rsidP="00AE1928">
      <w:pPr>
        <w:autoSpaceDE w:val="0"/>
        <w:autoSpaceDN w:val="0"/>
        <w:adjustRightInd w:val="0"/>
        <w:spacing w:after="0" w:line="240" w:lineRule="auto"/>
        <w:jc w:val="both"/>
        <w:rPr>
          <w:rFonts w:cstheme="minorHAnsi"/>
          <w:kern w:val="0"/>
        </w:rPr>
      </w:pPr>
    </w:p>
    <w:p w14:paraId="47EF179D" w14:textId="750E2B51" w:rsidR="002E1975" w:rsidRPr="005A2024" w:rsidRDefault="20A96003" w:rsidP="21436E93">
      <w:pPr>
        <w:autoSpaceDE w:val="0"/>
        <w:autoSpaceDN w:val="0"/>
        <w:adjustRightInd w:val="0"/>
        <w:spacing w:after="0" w:line="240" w:lineRule="auto"/>
        <w:jc w:val="both"/>
        <w:rPr>
          <w:rFonts w:eastAsia="Arial" w:cs="Arial"/>
          <w:b/>
          <w:bCs/>
          <w:lang w:val="pl"/>
        </w:rPr>
      </w:pPr>
      <w:r w:rsidRPr="24D49764">
        <w:rPr>
          <w:kern w:val="0"/>
          <w:u w:val="single"/>
        </w:rPr>
        <w:t>Obrazložitev</w:t>
      </w:r>
      <w:r w:rsidRPr="24D49764">
        <w:rPr>
          <w:kern w:val="0"/>
        </w:rPr>
        <w:t>: Upravičenec Univerza v Mariboru je 30.</w:t>
      </w:r>
      <w:r w:rsidR="383557BC" w:rsidRPr="24D49764">
        <w:rPr>
          <w:kern w:val="0"/>
        </w:rPr>
        <w:t xml:space="preserve"> </w:t>
      </w:r>
      <w:r w:rsidRPr="24D49764">
        <w:rPr>
          <w:kern w:val="0"/>
        </w:rPr>
        <w:t>10.</w:t>
      </w:r>
      <w:r w:rsidR="383557BC" w:rsidRPr="24D49764">
        <w:rPr>
          <w:kern w:val="0"/>
        </w:rPr>
        <w:t xml:space="preserve"> </w:t>
      </w:r>
      <w:r w:rsidRPr="24D49764">
        <w:rPr>
          <w:kern w:val="0"/>
        </w:rPr>
        <w:t xml:space="preserve">2024 na MVZI posredovala Načrt razvoja tehnološkega inovacijskega centra Univerze v Mariboru </w:t>
      </w:r>
      <w:proofErr w:type="spellStart"/>
      <w:r w:rsidRPr="24D49764">
        <w:rPr>
          <w:kern w:val="0"/>
        </w:rPr>
        <w:t>Innovum</w:t>
      </w:r>
      <w:proofErr w:type="spellEnd"/>
      <w:r w:rsidRPr="24D49764">
        <w:rPr>
          <w:kern w:val="0"/>
        </w:rPr>
        <w:t xml:space="preserve"> v katerem bo v okviru financiranja iz evropskih kohezijskih sredstev financiral projekte: a) Prenova objekta Centra odličnosti za fotonske, </w:t>
      </w:r>
      <w:proofErr w:type="spellStart"/>
      <w:r w:rsidRPr="24D49764">
        <w:rPr>
          <w:kern w:val="0"/>
        </w:rPr>
        <w:t>mikro</w:t>
      </w:r>
      <w:proofErr w:type="spellEnd"/>
      <w:r w:rsidRPr="24D49764">
        <w:rPr>
          <w:kern w:val="0"/>
        </w:rPr>
        <w:t xml:space="preserve"> in </w:t>
      </w:r>
      <w:proofErr w:type="spellStart"/>
      <w:r w:rsidRPr="24D49764">
        <w:rPr>
          <w:kern w:val="0"/>
        </w:rPr>
        <w:t>nano</w:t>
      </w:r>
      <w:proofErr w:type="spellEnd"/>
      <w:r w:rsidRPr="24D49764">
        <w:rPr>
          <w:kern w:val="0"/>
        </w:rPr>
        <w:t xml:space="preserve"> elektronske tehnologije UM (v celoti se financira iz SC 1.1), b) zagotovitev lastnih prostorov Fakultete za logistiko v Raziskovalnim centrom za logistiko, ki se bo delno financirala iz SC 1.1 in delno iz SC 4.2, c) zagotovitev prostorov za Fakulteto za energetiko z izgradnjo raziskovalne infrastrukture Inštituta za energetiko, ki se bo delno financirala iz SC 1.1 in delno iz SC 4.2 in d) Celotna prenova in do gradnja objektov Tehniških fakultet – 1 faza, ki se bo delno financirala iz SC 1.1 in delno iz SC 4.2. S tem je iz nabora projektov izključena, ob v času programiranja predvidena Pedagoška, Filozofska fakulteta in Fakulteta za matematiko, </w:t>
      </w:r>
      <w:proofErr w:type="spellStart"/>
      <w:r w:rsidRPr="24D49764">
        <w:rPr>
          <w:kern w:val="0"/>
        </w:rPr>
        <w:t>t.i</w:t>
      </w:r>
      <w:proofErr w:type="spellEnd"/>
      <w:r w:rsidRPr="24D49764">
        <w:rPr>
          <w:kern w:val="0"/>
        </w:rPr>
        <w:t>. »trojček«, skladno s tem pa se spreminja opis ukrepa, kot navedeno.</w:t>
      </w:r>
      <w:r w:rsidR="13F34CE7" w:rsidRPr="24D49764">
        <w:rPr>
          <w:rFonts w:eastAsia="Arial" w:cs="Arial"/>
        </w:rPr>
        <w:t xml:space="preserve"> Da bi se Načrt razvoja tehnološkega inovacijskega centra Univerze v Mariboru </w:t>
      </w:r>
      <w:proofErr w:type="spellStart"/>
      <w:r w:rsidR="13F34CE7" w:rsidRPr="24D49764">
        <w:rPr>
          <w:rFonts w:eastAsia="Arial" w:cs="Arial"/>
        </w:rPr>
        <w:t>Innovum</w:t>
      </w:r>
      <w:proofErr w:type="spellEnd"/>
      <w:r w:rsidR="13F34CE7" w:rsidRPr="24D49764">
        <w:rPr>
          <w:rFonts w:eastAsia="Arial" w:cs="Arial"/>
        </w:rPr>
        <w:t xml:space="preserve"> oz. zgoraj navedeni projekti lahko izpeljali je nujna tudi </w:t>
      </w:r>
      <w:r w:rsidR="13F34CE7" w:rsidRPr="24D49764">
        <w:rPr>
          <w:rFonts w:eastAsia="Arial" w:cs="Arial"/>
          <w:b/>
          <w:bCs/>
          <w:lang w:val="pl"/>
        </w:rPr>
        <w:t>Prizidava in rekonstrukcija III. gimnazije Maribor v pristojnosti MVI.</w:t>
      </w:r>
    </w:p>
    <w:p w14:paraId="44B85F1E" w14:textId="77777777" w:rsidR="00707F21" w:rsidRPr="003E1090" w:rsidRDefault="00707F21" w:rsidP="002E1975">
      <w:pPr>
        <w:autoSpaceDE w:val="0"/>
        <w:autoSpaceDN w:val="0"/>
        <w:adjustRightInd w:val="0"/>
        <w:spacing w:after="0" w:line="240" w:lineRule="auto"/>
        <w:jc w:val="both"/>
        <w:rPr>
          <w:rFonts w:cstheme="minorHAnsi"/>
          <w:kern w:val="0"/>
        </w:rPr>
      </w:pPr>
    </w:p>
    <w:p w14:paraId="02DE0EA2" w14:textId="77777777" w:rsidR="002E1975" w:rsidRPr="003E1090" w:rsidRDefault="002E1975" w:rsidP="00446D40">
      <w:pPr>
        <w:numPr>
          <w:ilvl w:val="0"/>
          <w:numId w:val="19"/>
        </w:numPr>
        <w:autoSpaceDE w:val="0"/>
        <w:autoSpaceDN w:val="0"/>
        <w:adjustRightInd w:val="0"/>
        <w:spacing w:after="0" w:line="240" w:lineRule="auto"/>
        <w:contextualSpacing/>
        <w:jc w:val="both"/>
        <w:rPr>
          <w:rFonts w:cstheme="minorHAnsi"/>
          <w:kern w:val="0"/>
        </w:rPr>
      </w:pPr>
      <w:r w:rsidRPr="003345C5">
        <w:rPr>
          <w:rFonts w:cstheme="minorHAnsi"/>
          <w:b/>
          <w:bCs/>
          <w:kern w:val="0"/>
          <w:u w:val="single"/>
        </w:rPr>
        <w:t>Sprememba kod intervencije</w:t>
      </w:r>
      <w:r w:rsidRPr="003E1090">
        <w:rPr>
          <w:rFonts w:cstheme="minorHAnsi"/>
          <w:kern w:val="0"/>
          <w:u w:val="single"/>
        </w:rPr>
        <w:t>:</w:t>
      </w:r>
      <w:r w:rsidRPr="003E1090">
        <w:rPr>
          <w:rFonts w:cstheme="minorHAnsi"/>
          <w:kern w:val="0"/>
        </w:rPr>
        <w:t xml:space="preserve"> Razpredelnica 4: Razsežnost 1- področje ukrepanja, kjer se:</w:t>
      </w:r>
    </w:p>
    <w:p w14:paraId="1BE405EA" w14:textId="77777777" w:rsidR="002E1975" w:rsidRPr="003E1090" w:rsidRDefault="002E1975" w:rsidP="00446D40">
      <w:pPr>
        <w:numPr>
          <w:ilvl w:val="0"/>
          <w:numId w:val="5"/>
        </w:numPr>
        <w:autoSpaceDE w:val="0"/>
        <w:autoSpaceDN w:val="0"/>
        <w:adjustRightInd w:val="0"/>
        <w:spacing w:after="0" w:line="240" w:lineRule="auto"/>
        <w:contextualSpacing/>
        <w:jc w:val="both"/>
        <w:rPr>
          <w:rFonts w:cstheme="minorHAnsi"/>
          <w:kern w:val="0"/>
        </w:rPr>
      </w:pPr>
      <w:r w:rsidRPr="003E1090">
        <w:rPr>
          <w:rFonts w:cstheme="minorHAnsi"/>
          <w:kern w:val="0"/>
        </w:rPr>
        <w:t>vrednost kode 043 se iz vrednosti 18.390.000 EUR spremeni v vrednost 28.030.061 EUR,</w:t>
      </w:r>
    </w:p>
    <w:p w14:paraId="15C3AA2B" w14:textId="77777777" w:rsidR="002E1975" w:rsidRPr="003E1090" w:rsidRDefault="002E1975" w:rsidP="00446D40">
      <w:pPr>
        <w:numPr>
          <w:ilvl w:val="0"/>
          <w:numId w:val="5"/>
        </w:numPr>
        <w:autoSpaceDE w:val="0"/>
        <w:autoSpaceDN w:val="0"/>
        <w:adjustRightInd w:val="0"/>
        <w:spacing w:after="0" w:line="240" w:lineRule="auto"/>
        <w:contextualSpacing/>
        <w:rPr>
          <w:rFonts w:cstheme="minorHAnsi"/>
          <w:kern w:val="0"/>
        </w:rPr>
      </w:pPr>
      <w:r w:rsidRPr="003E1090">
        <w:rPr>
          <w:rFonts w:cstheme="minorHAnsi"/>
          <w:kern w:val="0"/>
        </w:rPr>
        <w:t xml:space="preserve">koda 044 se briše, </w:t>
      </w:r>
    </w:p>
    <w:p w14:paraId="0E63FB08" w14:textId="77777777" w:rsidR="002E1975" w:rsidRPr="003E1090" w:rsidRDefault="002E1975" w:rsidP="00446D40">
      <w:pPr>
        <w:numPr>
          <w:ilvl w:val="0"/>
          <w:numId w:val="5"/>
        </w:numPr>
        <w:autoSpaceDE w:val="0"/>
        <w:autoSpaceDN w:val="0"/>
        <w:adjustRightInd w:val="0"/>
        <w:spacing w:after="0" w:line="240" w:lineRule="auto"/>
        <w:contextualSpacing/>
        <w:rPr>
          <w:rFonts w:cstheme="minorHAnsi"/>
          <w:kern w:val="0"/>
        </w:rPr>
      </w:pPr>
      <w:r w:rsidRPr="003E1090">
        <w:rPr>
          <w:rFonts w:cstheme="minorHAnsi"/>
          <w:kern w:val="0"/>
        </w:rPr>
        <w:t xml:space="preserve">vrednost kode 123 se iz vrednosti 9.436.000 EUR, spremeni v vrednost 2.975.000 EUR, </w:t>
      </w:r>
    </w:p>
    <w:p w14:paraId="2CA2195B" w14:textId="77777777" w:rsidR="002E1975" w:rsidRPr="003E1090" w:rsidRDefault="002E1975" w:rsidP="00446D40">
      <w:pPr>
        <w:numPr>
          <w:ilvl w:val="0"/>
          <w:numId w:val="5"/>
        </w:numPr>
        <w:autoSpaceDE w:val="0"/>
        <w:autoSpaceDN w:val="0"/>
        <w:adjustRightInd w:val="0"/>
        <w:spacing w:after="0" w:line="240" w:lineRule="auto"/>
        <w:contextualSpacing/>
        <w:rPr>
          <w:rFonts w:cstheme="minorHAnsi"/>
          <w:kern w:val="0"/>
        </w:rPr>
      </w:pPr>
      <w:r w:rsidRPr="003E1090">
        <w:rPr>
          <w:rFonts w:cstheme="minorHAnsi"/>
          <w:kern w:val="0"/>
        </w:rPr>
        <w:t>vrednost kode 124 ostaja 1.795.000 EUR in se ne spreminja.</w:t>
      </w:r>
    </w:p>
    <w:p w14:paraId="61B37B6B" w14:textId="77777777" w:rsidR="002E1975" w:rsidRPr="003E1090" w:rsidRDefault="002E1975" w:rsidP="002E1975">
      <w:pPr>
        <w:autoSpaceDE w:val="0"/>
        <w:autoSpaceDN w:val="0"/>
        <w:adjustRightInd w:val="0"/>
        <w:spacing w:after="0" w:line="240" w:lineRule="auto"/>
        <w:rPr>
          <w:rFonts w:cstheme="minorHAnsi"/>
          <w:kern w:val="0"/>
        </w:rPr>
      </w:pPr>
    </w:p>
    <w:p w14:paraId="3D929D06" w14:textId="77777777" w:rsidR="002E1975" w:rsidRPr="003E1090" w:rsidRDefault="002E1975" w:rsidP="002E1975">
      <w:pPr>
        <w:autoSpaceDE w:val="0"/>
        <w:autoSpaceDN w:val="0"/>
        <w:adjustRightInd w:val="0"/>
        <w:spacing w:after="0" w:line="240" w:lineRule="auto"/>
        <w:rPr>
          <w:rFonts w:cstheme="minorHAnsi"/>
          <w:kern w:val="0"/>
        </w:rPr>
      </w:pPr>
      <w:r w:rsidRPr="003E1090">
        <w:rPr>
          <w:rFonts w:cstheme="minorHAnsi"/>
          <w:kern w:val="0"/>
        </w:rPr>
        <w:t>Vsota vrednosti se ne spreminja in ostaja 32.800.061 EUR.</w:t>
      </w:r>
    </w:p>
    <w:p w14:paraId="3C9ED143" w14:textId="77777777" w:rsidR="002E1975" w:rsidRPr="003E1090" w:rsidRDefault="002E1975" w:rsidP="002E1975">
      <w:pPr>
        <w:autoSpaceDE w:val="0"/>
        <w:autoSpaceDN w:val="0"/>
        <w:adjustRightInd w:val="0"/>
        <w:spacing w:after="0" w:line="240" w:lineRule="auto"/>
        <w:rPr>
          <w:rFonts w:cstheme="minorHAnsi"/>
          <w:kern w:val="0"/>
        </w:rPr>
      </w:pPr>
    </w:p>
    <w:p w14:paraId="43209D8C" w14:textId="05E7AA56" w:rsidR="002E1975" w:rsidRDefault="002E1975" w:rsidP="24D49764">
      <w:pPr>
        <w:autoSpaceDE w:val="0"/>
        <w:autoSpaceDN w:val="0"/>
        <w:adjustRightInd w:val="0"/>
        <w:spacing w:after="0" w:line="240" w:lineRule="auto"/>
        <w:jc w:val="both"/>
        <w:rPr>
          <w:rFonts w:eastAsia="Arial" w:cs="Arial"/>
        </w:rPr>
      </w:pPr>
      <w:r w:rsidRPr="5455072C">
        <w:rPr>
          <w:kern w:val="0"/>
          <w:u w:val="single"/>
        </w:rPr>
        <w:t>Obrazložitev</w:t>
      </w:r>
      <w:r w:rsidRPr="5455072C">
        <w:rPr>
          <w:kern w:val="0"/>
        </w:rPr>
        <w:t xml:space="preserve">: Skladno z zgoraj omenjenim predloženim načrtom Načrt razvoja tehnološkega inovacijskega centra Univerze v Mariboru </w:t>
      </w:r>
      <w:proofErr w:type="spellStart"/>
      <w:r w:rsidRPr="5455072C">
        <w:rPr>
          <w:kern w:val="0"/>
        </w:rPr>
        <w:t>Innovum</w:t>
      </w:r>
      <w:proofErr w:type="spellEnd"/>
      <w:r w:rsidRPr="5455072C">
        <w:rPr>
          <w:kern w:val="0"/>
        </w:rPr>
        <w:t xml:space="preserve"> se spremenijo tudi sorazmerne vrednosti posameznih kod; ker projekti energetske sanacije niso predvideni, se briše koda 044 (Energetsko učinkovita prenova javne infrastrukture ali ukrepi za večjo energetsko učinkovitost), zniža se vrednost kode 124</w:t>
      </w:r>
      <w:r w:rsidR="2128BE07">
        <w:t>123</w:t>
      </w:r>
      <w:r w:rsidRPr="5455072C">
        <w:rPr>
          <w:kern w:val="0"/>
        </w:rPr>
        <w:t xml:space="preserve"> (Infrastruktura </w:t>
      </w:r>
      <w:r w:rsidR="3713530C">
        <w:t>terciarno izobraževanje</w:t>
      </w:r>
      <w:r w:rsidRPr="5455072C">
        <w:rPr>
          <w:kern w:val="0"/>
        </w:rPr>
        <w:t xml:space="preserve">), poveča se vrednost kode 043 (Gradnja novih energetsko učinkovitih stavb) na skupno vrednost 28.030.061 EUR, od katerega je za </w:t>
      </w:r>
      <w:proofErr w:type="spellStart"/>
      <w:r w:rsidRPr="5455072C">
        <w:rPr>
          <w:kern w:val="0"/>
        </w:rPr>
        <w:t>Innovum</w:t>
      </w:r>
      <w:proofErr w:type="spellEnd"/>
      <w:r w:rsidRPr="5455072C">
        <w:rPr>
          <w:kern w:val="0"/>
        </w:rPr>
        <w:t xml:space="preserve"> namenjenih 17.850.000 EUR (EU del)</w:t>
      </w:r>
      <w:r w:rsidR="583BAE37" w:rsidRPr="70E4CC39">
        <w:rPr>
          <w:kern w:val="0"/>
        </w:rPr>
        <w:t xml:space="preserve"> </w:t>
      </w:r>
      <w:r w:rsidR="0A3B25B9" w:rsidRPr="24D49764">
        <w:rPr>
          <w:rFonts w:eastAsia="Arial" w:cs="Arial"/>
          <w:kern w:val="0"/>
        </w:rPr>
        <w:t xml:space="preserve">za </w:t>
      </w:r>
      <w:r w:rsidR="0A3B25B9" w:rsidRPr="24D49764">
        <w:rPr>
          <w:rFonts w:eastAsia="Arial" w:cs="Arial"/>
          <w:b/>
          <w:bCs/>
          <w:kern w:val="0"/>
          <w:lang w:val="pl"/>
        </w:rPr>
        <w:t>prizidavo in rekonstrukcijo III. gimnazije Maribor</w:t>
      </w:r>
      <w:r w:rsidR="0A3B25B9" w:rsidRPr="24D49764">
        <w:rPr>
          <w:rFonts w:eastAsia="Arial" w:cs="Arial"/>
          <w:kern w:val="0"/>
        </w:rPr>
        <w:t xml:space="preserve"> pa 10.180.061 EUR (EU del).</w:t>
      </w:r>
    </w:p>
    <w:p w14:paraId="33CEC843" w14:textId="33222C96" w:rsidR="002E1975" w:rsidRDefault="002E1975" w:rsidP="70E4CC39">
      <w:pPr>
        <w:autoSpaceDE w:val="0"/>
        <w:autoSpaceDN w:val="0"/>
        <w:adjustRightInd w:val="0"/>
        <w:spacing w:after="0" w:line="240" w:lineRule="auto"/>
        <w:jc w:val="both"/>
        <w:rPr>
          <w:kern w:val="0"/>
        </w:rPr>
      </w:pPr>
    </w:p>
    <w:p w14:paraId="7BF5172A" w14:textId="77777777" w:rsidR="00313C2B" w:rsidRPr="00D82F16" w:rsidRDefault="00313C2B" w:rsidP="00D82F16">
      <w:pPr>
        <w:pStyle w:val="Naslov3"/>
        <w:numPr>
          <w:ilvl w:val="2"/>
          <w:numId w:val="2"/>
        </w:numPr>
        <w:rPr>
          <w:color w:val="4472C4" w:themeColor="accent1"/>
        </w:rPr>
      </w:pPr>
      <w:bookmarkStart w:id="191" w:name="_Toc191383873"/>
      <w:r w:rsidRPr="00D82F16">
        <w:rPr>
          <w:color w:val="4472C4" w:themeColor="accent1"/>
        </w:rPr>
        <w:t>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w:t>
      </w:r>
      <w:bookmarkEnd w:id="191"/>
    </w:p>
    <w:p w14:paraId="0486A288" w14:textId="77777777" w:rsidR="00313C2B" w:rsidRPr="009C4FEB" w:rsidRDefault="00313C2B" w:rsidP="00313C2B">
      <w:pPr>
        <w:spacing w:after="0"/>
        <w:rPr>
          <w:rFonts w:cs="Arial"/>
          <w:szCs w:val="20"/>
        </w:rPr>
      </w:pPr>
    </w:p>
    <w:p w14:paraId="3C15E571" w14:textId="77777777" w:rsidR="00313C2B" w:rsidRDefault="00313C2B" w:rsidP="00313C2B">
      <w:pPr>
        <w:numPr>
          <w:ilvl w:val="0"/>
          <w:numId w:val="33"/>
        </w:numPr>
        <w:spacing w:after="0"/>
        <w:contextualSpacing/>
        <w:rPr>
          <w:rFonts w:cs="Arial"/>
          <w:b/>
          <w:bCs/>
          <w:szCs w:val="20"/>
          <w:u w:val="single"/>
        </w:rPr>
      </w:pPr>
      <w:r w:rsidRPr="00076FA4">
        <w:rPr>
          <w:rFonts w:cs="Arial"/>
          <w:b/>
          <w:bCs/>
          <w:szCs w:val="20"/>
          <w:u w:val="single"/>
        </w:rPr>
        <w:t>Sprememba opisa ukrepa</w:t>
      </w:r>
    </w:p>
    <w:p w14:paraId="0BC9E32A" w14:textId="77777777" w:rsidR="00C76CE4" w:rsidRDefault="00C76CE4" w:rsidP="00C76CE4">
      <w:pPr>
        <w:spacing w:after="0"/>
        <w:contextualSpacing/>
        <w:rPr>
          <w:rFonts w:cs="Arial"/>
          <w:b/>
          <w:bCs/>
          <w:szCs w:val="20"/>
          <w:u w:val="single"/>
        </w:rPr>
      </w:pPr>
    </w:p>
    <w:p w14:paraId="2F0FF612" w14:textId="5E298D06" w:rsidR="00313C2B" w:rsidRPr="009C4FEB" w:rsidRDefault="00313C2B" w:rsidP="4B0C6BDB">
      <w:pPr>
        <w:spacing w:after="0"/>
        <w:contextualSpacing/>
        <w:jc w:val="both"/>
        <w:rPr>
          <w:rFonts w:cs="Arial"/>
        </w:rPr>
      </w:pPr>
      <w:r w:rsidRPr="4802029C">
        <w:rPr>
          <w:rFonts w:cs="Arial"/>
        </w:rPr>
        <w:t xml:space="preserve">Pri izvajanju ukrepov aktivne politike zaposlovanja (APZ) se spremeni naziv ukrepa iz »Razvoj in nadgradnja platforme za dolgoročno napovedovanje kompetenc oz. znanj in spretnosti, potrebnih na trgu dela« v Platforma trga dela. </w:t>
      </w:r>
    </w:p>
    <w:p w14:paraId="125FD819" w14:textId="77777777" w:rsidR="00313C2B" w:rsidRPr="009C4FEB" w:rsidRDefault="00313C2B" w:rsidP="00313C2B">
      <w:pPr>
        <w:spacing w:after="0"/>
        <w:rPr>
          <w:rFonts w:cs="Arial"/>
          <w:szCs w:val="20"/>
        </w:rPr>
      </w:pPr>
    </w:p>
    <w:p w14:paraId="2D5B647E" w14:textId="0F3C10A6" w:rsidR="00DD4F16" w:rsidRDefault="00313C2B" w:rsidP="00DD4F16">
      <w:pPr>
        <w:spacing w:after="0"/>
        <w:jc w:val="both"/>
        <w:rPr>
          <w:rFonts w:cs="Arial"/>
          <w:szCs w:val="20"/>
        </w:rPr>
      </w:pPr>
      <w:r w:rsidRPr="009C4FEB">
        <w:rPr>
          <w:rFonts w:cs="Arial"/>
          <w:szCs w:val="20"/>
          <w:u w:val="single"/>
        </w:rPr>
        <w:t>Obrazložitev</w:t>
      </w:r>
      <w:r w:rsidRPr="009C4FEB">
        <w:rPr>
          <w:rFonts w:cs="Arial"/>
          <w:szCs w:val="20"/>
        </w:rPr>
        <w:t xml:space="preserve">: </w:t>
      </w:r>
      <w:r w:rsidR="00DD4F16" w:rsidRPr="00DD4F16">
        <w:rPr>
          <w:rFonts w:cs="Arial"/>
          <w:szCs w:val="20"/>
        </w:rPr>
        <w:t>Posredniško telo Ministrstvo za delo, družino, socialne zadeve in enake možnosti (MDDSZ) je naknadno spremenilo naziv ukrepa.</w:t>
      </w:r>
    </w:p>
    <w:p w14:paraId="5386DDF6" w14:textId="77777777" w:rsidR="00E34B1A" w:rsidRDefault="00E34B1A" w:rsidP="00DD4F16">
      <w:pPr>
        <w:spacing w:after="0"/>
        <w:jc w:val="both"/>
        <w:rPr>
          <w:rFonts w:cs="Arial"/>
          <w:szCs w:val="20"/>
        </w:rPr>
      </w:pPr>
    </w:p>
    <w:p w14:paraId="67C212C2" w14:textId="04ADF96B" w:rsidR="00E34B1A" w:rsidRPr="00C76CE4" w:rsidRDefault="00DD4F16" w:rsidP="4802029C">
      <w:pPr>
        <w:pStyle w:val="Odstavekseznama"/>
        <w:numPr>
          <w:ilvl w:val="0"/>
          <w:numId w:val="33"/>
        </w:numPr>
        <w:spacing w:after="0"/>
        <w:jc w:val="both"/>
        <w:rPr>
          <w:rFonts w:cs="Arial"/>
          <w:b/>
          <w:u w:val="single"/>
        </w:rPr>
      </w:pPr>
      <w:r w:rsidRPr="5514D104">
        <w:rPr>
          <w:rFonts w:cs="Arial"/>
          <w:b/>
          <w:bCs/>
          <w:u w:val="single"/>
        </w:rPr>
        <w:t xml:space="preserve">Sprememba </w:t>
      </w:r>
      <w:r w:rsidR="09571ABB" w:rsidRPr="4802029C">
        <w:rPr>
          <w:rFonts w:cs="Arial"/>
          <w:b/>
          <w:bCs/>
          <w:u w:val="single"/>
        </w:rPr>
        <w:t xml:space="preserve">kazalnikov </w:t>
      </w:r>
      <w:r w:rsidR="09571ABB" w:rsidRPr="5514D104">
        <w:rPr>
          <w:rFonts w:cs="Arial"/>
          <w:b/>
          <w:bCs/>
          <w:u w:val="single"/>
        </w:rPr>
        <w:t xml:space="preserve">učinka, kazalnikov rezultata in </w:t>
      </w:r>
      <w:r w:rsidR="09571ABB" w:rsidRPr="7BEF90CB">
        <w:rPr>
          <w:rFonts w:cs="Arial"/>
          <w:b/>
          <w:bCs/>
          <w:u w:val="single"/>
        </w:rPr>
        <w:t>razčlenitve programskih sredstev</w:t>
      </w:r>
    </w:p>
    <w:p w14:paraId="702224D8" w14:textId="77777777" w:rsidR="00C76CE4" w:rsidRPr="00C76CE4" w:rsidRDefault="00C76CE4" w:rsidP="00C76CE4">
      <w:pPr>
        <w:spacing w:after="0"/>
        <w:jc w:val="both"/>
        <w:rPr>
          <w:rFonts w:cs="Arial"/>
          <w:b/>
          <w:u w:val="single"/>
        </w:rPr>
      </w:pPr>
    </w:p>
    <w:p w14:paraId="1E43D49D" w14:textId="4E2625A3" w:rsidR="00DD4F16" w:rsidRPr="00DD4F16" w:rsidRDefault="00DD4F16" w:rsidP="009469ED">
      <w:pPr>
        <w:spacing w:after="0"/>
        <w:jc w:val="both"/>
        <w:rPr>
          <w:rFonts w:cs="Arial"/>
        </w:rPr>
      </w:pPr>
      <w:r w:rsidRPr="06FB20C2">
        <w:rPr>
          <w:rFonts w:cs="Arial"/>
        </w:rPr>
        <w:t>Zaradi spremenjenega stanja na trgu dela glede stopnje zaposlenosti in zaradi večje potrebe po vključevanju odraslih v vseživljenjsko učenje (usposabljanje</w:t>
      </w:r>
      <w:r w:rsidR="4E1211EC" w:rsidRPr="06FB20C2">
        <w:rPr>
          <w:rFonts w:cs="Arial"/>
        </w:rPr>
        <w:t>/izobraževanje</w:t>
      </w:r>
      <w:r w:rsidRPr="06FB20C2">
        <w:rPr>
          <w:rFonts w:cs="Arial"/>
        </w:rPr>
        <w:t xml:space="preserve">), se finančno zniža ukrep </w:t>
      </w:r>
      <w:r w:rsidRPr="06FB20C2">
        <w:rPr>
          <w:rFonts w:cs="Arial"/>
        </w:rPr>
        <w:lastRenderedPageBreak/>
        <w:t>aktivna politika zaposlovanja</w:t>
      </w:r>
      <w:r w:rsidR="4CB0162E" w:rsidRPr="06FB20C2">
        <w:rPr>
          <w:rFonts w:cs="Arial"/>
        </w:rPr>
        <w:t xml:space="preserve"> pri MDDSZ</w:t>
      </w:r>
      <w:r w:rsidRPr="06FB20C2">
        <w:rPr>
          <w:rFonts w:cs="Arial"/>
        </w:rPr>
        <w:t>. Pri oblikovanju je ukrep upošteva</w:t>
      </w:r>
      <w:r w:rsidR="00B30B53" w:rsidRPr="06FB20C2">
        <w:rPr>
          <w:rFonts w:cs="Arial"/>
        </w:rPr>
        <w:t>l</w:t>
      </w:r>
      <w:r w:rsidRPr="06FB20C2">
        <w:rPr>
          <w:rFonts w:cs="Arial"/>
        </w:rPr>
        <w:t xml:space="preserve"> teritorialne neenakosti, kjer je finančna intenziteta v KRVS nekoliko večja (90 %).</w:t>
      </w:r>
    </w:p>
    <w:p w14:paraId="2B4046E8" w14:textId="17F7065E" w:rsidR="00DD4F16" w:rsidRPr="00DD4F16" w:rsidRDefault="00DD4F16" w:rsidP="009469ED">
      <w:pPr>
        <w:spacing w:after="0"/>
        <w:jc w:val="both"/>
        <w:rPr>
          <w:rFonts w:cs="Arial"/>
          <w:szCs w:val="20"/>
        </w:rPr>
      </w:pPr>
    </w:p>
    <w:p w14:paraId="3B7146BE" w14:textId="222BAFC3" w:rsidR="00DD4F16" w:rsidRPr="00DD4F16" w:rsidRDefault="00DD4F16" w:rsidP="009469ED">
      <w:pPr>
        <w:spacing w:after="0"/>
        <w:jc w:val="both"/>
        <w:rPr>
          <w:rFonts w:cs="Arial"/>
        </w:rPr>
      </w:pPr>
      <w:r w:rsidRPr="29E2DE89">
        <w:rPr>
          <w:rFonts w:cs="Arial"/>
          <w:u w:val="single"/>
        </w:rPr>
        <w:t>Obrazložitev</w:t>
      </w:r>
      <w:r w:rsidRPr="29E2DE89">
        <w:rPr>
          <w:rFonts w:cs="Arial"/>
        </w:rPr>
        <w:t xml:space="preserve">: Ugotavlja se, da je bila finančna intenziteta </w:t>
      </w:r>
      <w:r w:rsidR="6240C564" w:rsidRPr="4B0C6BDB">
        <w:rPr>
          <w:rFonts w:cs="Arial"/>
        </w:rPr>
        <w:t>pre</w:t>
      </w:r>
      <w:r w:rsidRPr="1D2811E0">
        <w:rPr>
          <w:rFonts w:cs="Arial"/>
        </w:rPr>
        <w:t>dimenzionirana</w:t>
      </w:r>
      <w:r w:rsidRPr="29E2DE89">
        <w:rPr>
          <w:rFonts w:cs="Arial"/>
        </w:rPr>
        <w:t xml:space="preserve">, zato se predlaga nižanje </w:t>
      </w:r>
      <w:r w:rsidR="68A325F3" w:rsidRPr="7BEF90CB">
        <w:rPr>
          <w:rFonts w:cs="Arial"/>
        </w:rPr>
        <w:t>sredstev</w:t>
      </w:r>
      <w:r w:rsidRPr="29E2DE89">
        <w:rPr>
          <w:rFonts w:cs="Arial"/>
        </w:rPr>
        <w:t xml:space="preserve"> na </w:t>
      </w:r>
      <w:r w:rsidRPr="7BEF90CB">
        <w:rPr>
          <w:rFonts w:cs="Arial"/>
        </w:rPr>
        <w:t>KRVS.</w:t>
      </w:r>
      <w:r w:rsidRPr="29E2DE89">
        <w:rPr>
          <w:rFonts w:cs="Arial"/>
        </w:rPr>
        <w:t xml:space="preserve"> </w:t>
      </w:r>
      <w:r w:rsidR="096F42A7" w:rsidRPr="38347D1B">
        <w:rPr>
          <w:rFonts w:cs="Arial"/>
        </w:rPr>
        <w:t>Posledično</w:t>
      </w:r>
      <w:r w:rsidRPr="29E2DE89">
        <w:rPr>
          <w:rFonts w:cs="Arial"/>
        </w:rPr>
        <w:t xml:space="preserve"> bodo sredstva po regijah </w:t>
      </w:r>
      <w:r w:rsidR="0525BD8A" w:rsidRPr="639F7BAA">
        <w:rPr>
          <w:rFonts w:cs="Arial"/>
        </w:rPr>
        <w:t xml:space="preserve">bolj </w:t>
      </w:r>
      <w:r w:rsidRPr="29E2DE89">
        <w:rPr>
          <w:rFonts w:cs="Arial"/>
        </w:rPr>
        <w:t xml:space="preserve">sorazmerno razdeljena. Vsebinsko se </w:t>
      </w:r>
      <w:r w:rsidRPr="455BE2FA">
        <w:rPr>
          <w:rFonts w:cs="Arial"/>
        </w:rPr>
        <w:t>ukrep</w:t>
      </w:r>
      <w:r w:rsidRPr="29E2DE89">
        <w:rPr>
          <w:rFonts w:cs="Arial"/>
        </w:rPr>
        <w:t xml:space="preserve"> ne spreminja. </w:t>
      </w:r>
      <w:r w:rsidR="646D6CBC" w:rsidRPr="0FE2F8F6">
        <w:rPr>
          <w:rFonts w:cs="Arial"/>
        </w:rPr>
        <w:t xml:space="preserve">Glede na spremembo </w:t>
      </w:r>
      <w:r w:rsidR="646D6CBC" w:rsidRPr="639F7BAA">
        <w:rPr>
          <w:rFonts w:cs="Arial"/>
        </w:rPr>
        <w:t>razčlenitve</w:t>
      </w:r>
      <w:r w:rsidR="646D6CBC" w:rsidRPr="0FE2F8F6">
        <w:rPr>
          <w:rFonts w:cs="Arial"/>
        </w:rPr>
        <w:t xml:space="preserve"> programskih sredstev po razsežnostih, se </w:t>
      </w:r>
      <w:r w:rsidR="0E7EF7FB" w:rsidRPr="4B0C6BDB">
        <w:rPr>
          <w:rFonts w:cs="Arial"/>
        </w:rPr>
        <w:t>v</w:t>
      </w:r>
      <w:r w:rsidRPr="4B0C6BDB">
        <w:rPr>
          <w:rFonts w:cs="Arial"/>
        </w:rPr>
        <w:t xml:space="preserve"> </w:t>
      </w:r>
      <w:r w:rsidR="64E0C1BC" w:rsidRPr="4B0C6BDB">
        <w:rPr>
          <w:rFonts w:cs="Arial"/>
        </w:rPr>
        <w:t>p</w:t>
      </w:r>
      <w:r w:rsidRPr="4B0C6BDB">
        <w:rPr>
          <w:rFonts w:cs="Arial"/>
        </w:rPr>
        <w:t xml:space="preserve">rogramu </w:t>
      </w:r>
      <w:r w:rsidR="3075D679" w:rsidRPr="4B0C6BDB">
        <w:rPr>
          <w:rFonts w:cs="Arial"/>
        </w:rPr>
        <w:t>sorazmerno</w:t>
      </w:r>
      <w:r w:rsidRPr="455BE2FA">
        <w:rPr>
          <w:rFonts w:cs="Arial"/>
        </w:rPr>
        <w:t xml:space="preserve"> </w:t>
      </w:r>
      <w:r w:rsidRPr="29E2DE89">
        <w:rPr>
          <w:rFonts w:cs="Arial"/>
        </w:rPr>
        <w:t>znižajo kazalniki učinka in kazalniki rezultata</w:t>
      </w:r>
      <w:r w:rsidRPr="0FE2F8F6">
        <w:rPr>
          <w:rFonts w:cs="Arial"/>
        </w:rPr>
        <w:t>.</w:t>
      </w:r>
      <w:r w:rsidRPr="29E2DE89">
        <w:rPr>
          <w:rFonts w:cs="Arial"/>
        </w:rPr>
        <w:t xml:space="preserve"> </w:t>
      </w:r>
      <w:r w:rsidRPr="4B0C6BDB">
        <w:rPr>
          <w:rFonts w:cs="Arial"/>
        </w:rPr>
        <w:t>Ukrep</w:t>
      </w:r>
      <w:r w:rsidRPr="29E2DE89">
        <w:rPr>
          <w:rFonts w:cs="Arial"/>
        </w:rPr>
        <w:t xml:space="preserve"> Ministrstva za delo, družino, socialne zadeve in enake možnosti (MDDSZ) se tako </w:t>
      </w:r>
      <w:r w:rsidRPr="4B0C6BDB">
        <w:rPr>
          <w:rFonts w:cs="Arial"/>
        </w:rPr>
        <w:t>zniža</w:t>
      </w:r>
      <w:r w:rsidRPr="29E2DE89">
        <w:rPr>
          <w:rFonts w:cs="Arial"/>
        </w:rPr>
        <w:t xml:space="preserve"> </w:t>
      </w:r>
      <w:r w:rsidR="00B30B53" w:rsidRPr="29E2DE89">
        <w:rPr>
          <w:rFonts w:cs="Arial"/>
        </w:rPr>
        <w:t>za 33,9</w:t>
      </w:r>
      <w:r w:rsidRPr="29E2DE89">
        <w:rPr>
          <w:rFonts w:cs="Arial"/>
        </w:rPr>
        <w:t xml:space="preserve"> mio EUR.</w:t>
      </w:r>
    </w:p>
    <w:p w14:paraId="3B6F42B6" w14:textId="77777777" w:rsidR="00313C2B" w:rsidRPr="009C4FEB" w:rsidRDefault="00313C2B" w:rsidP="00313C2B">
      <w:pPr>
        <w:spacing w:after="0"/>
        <w:rPr>
          <w:rFonts w:cs="Arial"/>
          <w:b/>
          <w:bCs/>
          <w:szCs w:val="20"/>
        </w:rPr>
      </w:pPr>
    </w:p>
    <w:p w14:paraId="365F2606" w14:textId="77777777" w:rsidR="00313C2B" w:rsidRPr="00674726" w:rsidRDefault="00313C2B" w:rsidP="00674726">
      <w:pPr>
        <w:pStyle w:val="Naslov3"/>
        <w:numPr>
          <w:ilvl w:val="2"/>
          <w:numId w:val="2"/>
        </w:numPr>
        <w:rPr>
          <w:color w:val="4472C4" w:themeColor="accent1"/>
        </w:rPr>
      </w:pPr>
      <w:bookmarkStart w:id="192" w:name="_Toc191383874"/>
      <w:r w:rsidRPr="00674726">
        <w:rPr>
          <w:color w:val="4472C4" w:themeColor="accent1"/>
        </w:rPr>
        <w:t>ESO4.2. Posodabljanje institucij in služb trga dela za oceno in predvidevanje potreb po veščinah ter zagotavljanje pravočasne in prilagojene pomoči in podpore pri usklajevanju ponudbe in povpraševanja na trgu dela, prehodih in mobilnosti (ESS+)</w:t>
      </w:r>
      <w:bookmarkEnd w:id="192"/>
    </w:p>
    <w:p w14:paraId="7B427FDB" w14:textId="77777777" w:rsidR="00313C2B" w:rsidRPr="009C4FEB" w:rsidRDefault="00313C2B" w:rsidP="00313C2B">
      <w:pPr>
        <w:spacing w:after="0"/>
        <w:rPr>
          <w:rFonts w:cs="Arial"/>
          <w:szCs w:val="20"/>
        </w:rPr>
      </w:pPr>
    </w:p>
    <w:p w14:paraId="412FDFEE" w14:textId="77777777" w:rsidR="00313C2B" w:rsidRDefault="00313C2B" w:rsidP="00313C2B">
      <w:pPr>
        <w:numPr>
          <w:ilvl w:val="0"/>
          <w:numId w:val="34"/>
        </w:numPr>
        <w:spacing w:after="0"/>
        <w:contextualSpacing/>
        <w:jc w:val="both"/>
        <w:rPr>
          <w:rFonts w:cs="Arial"/>
          <w:b/>
          <w:bCs/>
          <w:szCs w:val="20"/>
          <w:u w:val="single"/>
        </w:rPr>
      </w:pPr>
      <w:r w:rsidRPr="00076FA4">
        <w:rPr>
          <w:rFonts w:cs="Arial"/>
          <w:b/>
          <w:bCs/>
          <w:szCs w:val="20"/>
          <w:u w:val="single"/>
        </w:rPr>
        <w:t>Sprememba opisa ukrepa</w:t>
      </w:r>
    </w:p>
    <w:p w14:paraId="4DEB7F61" w14:textId="77777777" w:rsidR="00C76CE4" w:rsidRPr="00076FA4" w:rsidRDefault="00C76CE4" w:rsidP="00C76CE4">
      <w:pPr>
        <w:spacing w:after="0"/>
        <w:contextualSpacing/>
        <w:jc w:val="both"/>
        <w:rPr>
          <w:rFonts w:cs="Arial"/>
          <w:b/>
          <w:bCs/>
          <w:szCs w:val="20"/>
          <w:u w:val="single"/>
        </w:rPr>
      </w:pPr>
    </w:p>
    <w:p w14:paraId="64AE928A" w14:textId="77777777" w:rsidR="00313C2B" w:rsidRPr="009C4FEB" w:rsidRDefault="00313C2B" w:rsidP="00313C2B">
      <w:pPr>
        <w:spacing w:after="0"/>
        <w:jc w:val="both"/>
        <w:rPr>
          <w:rFonts w:cs="Arial"/>
          <w:szCs w:val="20"/>
        </w:rPr>
      </w:pPr>
      <w:r w:rsidRPr="009C4FEB">
        <w:rPr>
          <w:rFonts w:cs="Arial"/>
          <w:szCs w:val="20"/>
        </w:rPr>
        <w:t>Spremeni se naziv ukrepa iz Razvoj in nadgradnja platforme trga dela za dolgoročno napovedovanje kompetenc oz. znanj in spretnosti, potrebnih na trgu dela, v Platforma trga dela.</w:t>
      </w:r>
    </w:p>
    <w:p w14:paraId="18389340" w14:textId="77777777" w:rsidR="00313C2B" w:rsidRPr="009C4FEB" w:rsidRDefault="00313C2B" w:rsidP="00313C2B">
      <w:pPr>
        <w:spacing w:after="0"/>
        <w:rPr>
          <w:rFonts w:cs="Arial"/>
          <w:szCs w:val="20"/>
        </w:rPr>
      </w:pPr>
    </w:p>
    <w:p w14:paraId="0CA0FB67" w14:textId="48F508D4" w:rsidR="00DD4F16" w:rsidRDefault="00313C2B" w:rsidP="00DD4F16">
      <w:pPr>
        <w:spacing w:after="0"/>
        <w:jc w:val="both"/>
        <w:rPr>
          <w:rFonts w:cs="Arial"/>
          <w:szCs w:val="20"/>
        </w:rPr>
      </w:pPr>
      <w:r w:rsidRPr="009C4FEB">
        <w:rPr>
          <w:rFonts w:cs="Arial"/>
          <w:szCs w:val="20"/>
          <w:u w:val="single"/>
        </w:rPr>
        <w:t>Obrazložitev</w:t>
      </w:r>
      <w:r w:rsidRPr="009C4FEB">
        <w:rPr>
          <w:rFonts w:cs="Arial"/>
          <w:szCs w:val="20"/>
        </w:rPr>
        <w:t xml:space="preserve">: </w:t>
      </w:r>
      <w:r w:rsidR="00DD4F16" w:rsidRPr="00DD4F16">
        <w:rPr>
          <w:rFonts w:cs="Arial"/>
          <w:szCs w:val="20"/>
        </w:rPr>
        <w:t>Posredniško telo Ministrstvo za delo, družino, socialne zadeve in enake možnosti (MDDSZ) je naknadno spremenilo naziv ukrepa.</w:t>
      </w:r>
    </w:p>
    <w:p w14:paraId="47F3D4CB" w14:textId="77777777" w:rsidR="00E34B1A" w:rsidRDefault="00E34B1A" w:rsidP="00DD4F16">
      <w:pPr>
        <w:spacing w:after="0"/>
        <w:jc w:val="both"/>
        <w:rPr>
          <w:rFonts w:cs="Arial"/>
          <w:szCs w:val="20"/>
        </w:rPr>
      </w:pPr>
    </w:p>
    <w:p w14:paraId="5E5AACC1" w14:textId="6904040D" w:rsidR="00DD4F16" w:rsidRPr="00C76CE4" w:rsidRDefault="658BD73C" w:rsidP="00DD4F16">
      <w:pPr>
        <w:pStyle w:val="Odstavekseznama"/>
        <w:numPr>
          <w:ilvl w:val="0"/>
          <w:numId w:val="34"/>
        </w:numPr>
        <w:spacing w:after="0"/>
        <w:jc w:val="both"/>
        <w:rPr>
          <w:rFonts w:cs="Arial"/>
          <w:b/>
          <w:u w:val="single"/>
        </w:rPr>
      </w:pPr>
      <w:r w:rsidRPr="1A054683">
        <w:rPr>
          <w:rFonts w:cs="Arial"/>
          <w:b/>
          <w:bCs/>
          <w:u w:val="single"/>
        </w:rPr>
        <w:t xml:space="preserve">Sprememba razčlenitve programskih </w:t>
      </w:r>
      <w:r w:rsidRPr="2423A093">
        <w:rPr>
          <w:rFonts w:cs="Arial"/>
          <w:b/>
          <w:bCs/>
          <w:u w:val="single"/>
        </w:rPr>
        <w:t>sredstev</w:t>
      </w:r>
    </w:p>
    <w:p w14:paraId="4F7B6927" w14:textId="77777777" w:rsidR="00C76CE4" w:rsidRPr="00C76CE4" w:rsidRDefault="00C76CE4" w:rsidP="00C76CE4">
      <w:pPr>
        <w:spacing w:after="0"/>
        <w:jc w:val="both"/>
        <w:rPr>
          <w:rFonts w:cs="Arial"/>
          <w:b/>
          <w:u w:val="single"/>
        </w:rPr>
      </w:pPr>
    </w:p>
    <w:p w14:paraId="190D80B7" w14:textId="5A1C4834" w:rsidR="00DD4F16" w:rsidRPr="00DD4F16" w:rsidRDefault="03D449E1" w:rsidP="009469ED">
      <w:pPr>
        <w:spacing w:after="0"/>
        <w:jc w:val="both"/>
        <w:rPr>
          <w:rFonts w:cs="Arial"/>
        </w:rPr>
      </w:pPr>
      <w:r w:rsidRPr="320083EE">
        <w:rPr>
          <w:rFonts w:cs="Arial"/>
        </w:rPr>
        <w:t xml:space="preserve">Povišajo </w:t>
      </w:r>
      <w:r w:rsidR="00DD4F16" w:rsidRPr="320083EE">
        <w:rPr>
          <w:rFonts w:cs="Arial"/>
        </w:rPr>
        <w:t xml:space="preserve">se sredstva </w:t>
      </w:r>
      <w:r w:rsidR="49DA7419" w:rsidRPr="320083EE">
        <w:rPr>
          <w:rFonts w:cs="Arial"/>
        </w:rPr>
        <w:t>u</w:t>
      </w:r>
      <w:r w:rsidR="66B03591" w:rsidRPr="320083EE">
        <w:rPr>
          <w:rFonts w:cs="Arial"/>
        </w:rPr>
        <w:t>krep</w:t>
      </w:r>
      <w:r w:rsidR="7EB8EACA" w:rsidRPr="320083EE">
        <w:rPr>
          <w:rFonts w:cs="Arial"/>
        </w:rPr>
        <w:t>ov</w:t>
      </w:r>
      <w:r w:rsidR="00DD4F16" w:rsidRPr="320083EE">
        <w:rPr>
          <w:rFonts w:cs="Arial"/>
        </w:rPr>
        <w:t xml:space="preserve"> za posodobitev in okrepitev institucij trga dela in storitve za ocenjevanje in predvidevanje potreb po spretnostih ter za zagotovitev pravočasne in prilagojene pomoči.</w:t>
      </w:r>
      <w:r w:rsidR="16D48792" w:rsidRPr="320083EE">
        <w:rPr>
          <w:rFonts w:cs="Arial"/>
        </w:rPr>
        <w:t xml:space="preserve"> </w:t>
      </w:r>
      <w:r w:rsidR="0FDB85A8" w:rsidRPr="320083EE">
        <w:rPr>
          <w:rFonts w:cs="Arial"/>
        </w:rPr>
        <w:t xml:space="preserve">Skladno s tem, se sorazmerno spremenijo vse </w:t>
      </w:r>
      <w:r w:rsidR="4F0BC3B6" w:rsidRPr="320083EE">
        <w:rPr>
          <w:rFonts w:cs="Arial"/>
        </w:rPr>
        <w:t xml:space="preserve">opredeljene </w:t>
      </w:r>
      <w:r w:rsidR="0FDB85A8" w:rsidRPr="320083EE">
        <w:rPr>
          <w:rFonts w:cs="Arial"/>
        </w:rPr>
        <w:t>razsežnosti.</w:t>
      </w:r>
    </w:p>
    <w:p w14:paraId="36780685" w14:textId="77777777" w:rsidR="00313C2B" w:rsidRPr="009C4FEB" w:rsidRDefault="00313C2B" w:rsidP="00313C2B">
      <w:pPr>
        <w:spacing w:after="0"/>
        <w:rPr>
          <w:rFonts w:cs="Arial"/>
          <w:szCs w:val="20"/>
        </w:rPr>
      </w:pPr>
    </w:p>
    <w:p w14:paraId="359EF0E9" w14:textId="77777777" w:rsidR="00313C2B" w:rsidRPr="00674726" w:rsidRDefault="00313C2B" w:rsidP="00674726">
      <w:pPr>
        <w:pStyle w:val="Naslov3"/>
        <w:numPr>
          <w:ilvl w:val="2"/>
          <w:numId w:val="2"/>
        </w:numPr>
        <w:rPr>
          <w:color w:val="4472C4" w:themeColor="accent1"/>
        </w:rPr>
      </w:pPr>
      <w:bookmarkStart w:id="193" w:name="_Toc191383875"/>
      <w:r w:rsidRPr="00674726">
        <w:rPr>
          <w:color w:val="4472C4" w:themeColor="accent1"/>
        </w:rPr>
        <w:t>ESO4.4. Spodbujanje prilagajanja delavcev, podjetij in podjetnikov na spremembe, aktivnega in zdravega staranja ter zdravega in dobro prilagojenega delovnega okolja, ki obravnava tveganja za zdravje (ESS+)</w:t>
      </w:r>
      <w:bookmarkEnd w:id="193"/>
    </w:p>
    <w:p w14:paraId="2D8CF742" w14:textId="77777777" w:rsidR="00313C2B" w:rsidRDefault="00313C2B" w:rsidP="00313C2B">
      <w:pPr>
        <w:spacing w:after="0"/>
        <w:rPr>
          <w:rFonts w:cs="Arial"/>
          <w:szCs w:val="20"/>
        </w:rPr>
      </w:pPr>
    </w:p>
    <w:p w14:paraId="552B9043" w14:textId="24ECD79A" w:rsidR="001E28B7" w:rsidRDefault="001E28B7" w:rsidP="001E28B7">
      <w:pPr>
        <w:pStyle w:val="Odstavekseznama"/>
        <w:numPr>
          <w:ilvl w:val="0"/>
          <w:numId w:val="35"/>
        </w:numPr>
        <w:spacing w:after="0"/>
        <w:rPr>
          <w:rFonts w:cs="Arial"/>
          <w:b/>
          <w:bCs/>
          <w:szCs w:val="20"/>
          <w:u w:val="single"/>
        </w:rPr>
      </w:pPr>
      <w:r w:rsidRPr="00D767D6">
        <w:rPr>
          <w:rFonts w:cs="Arial"/>
          <w:b/>
          <w:bCs/>
          <w:szCs w:val="20"/>
          <w:u w:val="single"/>
        </w:rPr>
        <w:t>Opis novega ukrepa</w:t>
      </w:r>
    </w:p>
    <w:p w14:paraId="20015B8D" w14:textId="77777777" w:rsidR="005A2024" w:rsidRPr="00D767D6" w:rsidRDefault="005A2024" w:rsidP="005A2024">
      <w:pPr>
        <w:pStyle w:val="Odstavekseznama"/>
        <w:spacing w:after="0"/>
        <w:rPr>
          <w:rFonts w:cs="Arial"/>
          <w:b/>
          <w:bCs/>
          <w:szCs w:val="20"/>
          <w:u w:val="single"/>
        </w:rPr>
      </w:pPr>
    </w:p>
    <w:p w14:paraId="5762479C" w14:textId="77777777" w:rsidR="001949D1" w:rsidRDefault="001E28B7" w:rsidP="320083EE">
      <w:pPr>
        <w:spacing w:after="0"/>
        <w:jc w:val="both"/>
        <w:rPr>
          <w:rFonts w:cs="Arial"/>
        </w:rPr>
      </w:pPr>
      <w:r w:rsidRPr="320083EE">
        <w:rPr>
          <w:rFonts w:cs="Arial"/>
        </w:rPr>
        <w:t>Ministrstvo za delo, družino, socialne zadeve in enake možnosti v vlogi posredniškega telesa predlaga</w:t>
      </w:r>
      <w:r w:rsidR="001949D1" w:rsidRPr="320083EE">
        <w:rPr>
          <w:rFonts w:cs="Arial"/>
        </w:rPr>
        <w:t xml:space="preserve">: </w:t>
      </w:r>
    </w:p>
    <w:p w14:paraId="4F001B49" w14:textId="3AF2762A" w:rsidR="00F813CC" w:rsidRDefault="2675DEFF" w:rsidP="05447F1D">
      <w:pPr>
        <w:pStyle w:val="Odstavekseznama"/>
        <w:numPr>
          <w:ilvl w:val="0"/>
          <w:numId w:val="5"/>
        </w:numPr>
        <w:spacing w:after="0"/>
        <w:jc w:val="both"/>
        <w:rPr>
          <w:rFonts w:cs="Arial"/>
        </w:rPr>
      </w:pPr>
      <w:r w:rsidRPr="320083EE">
        <w:rPr>
          <w:rFonts w:cs="Arial"/>
        </w:rPr>
        <w:t>s</w:t>
      </w:r>
      <w:r w:rsidR="075F2446" w:rsidRPr="320083EE">
        <w:rPr>
          <w:rFonts w:cs="Arial"/>
        </w:rPr>
        <w:t xml:space="preserve">premembo prvega ukrepa na način, da se v prvi stavek prvega ukrepa za besedilo »zagotavljanje dostojnega dela z namenom« doda besedilo »kakovostnega delovnega okolja«, </w:t>
      </w:r>
      <w:r w:rsidR="29977BF0" w:rsidRPr="320083EE">
        <w:rPr>
          <w:rFonts w:cs="Arial"/>
        </w:rPr>
        <w:t>in</w:t>
      </w:r>
      <w:r w:rsidR="5F3D425D" w:rsidRPr="320083EE">
        <w:rPr>
          <w:rFonts w:cs="Arial"/>
        </w:rPr>
        <w:t xml:space="preserve"> </w:t>
      </w:r>
      <w:r w:rsidR="075F2446" w:rsidRPr="320083EE">
        <w:rPr>
          <w:rFonts w:cs="Arial"/>
        </w:rPr>
        <w:t xml:space="preserve"> </w:t>
      </w:r>
    </w:p>
    <w:p w14:paraId="32036BE1" w14:textId="4B0F8302" w:rsidR="001E28B7" w:rsidRPr="001949D1" w:rsidRDefault="001E28B7" w:rsidP="00346B5F">
      <w:pPr>
        <w:pStyle w:val="Odstavekseznama"/>
        <w:numPr>
          <w:ilvl w:val="0"/>
          <w:numId w:val="5"/>
        </w:numPr>
        <w:spacing w:after="0"/>
        <w:jc w:val="both"/>
        <w:rPr>
          <w:rFonts w:cs="Arial"/>
        </w:rPr>
      </w:pPr>
      <w:r w:rsidRPr="320083EE">
        <w:rPr>
          <w:rFonts w:cs="Arial"/>
        </w:rPr>
        <w:t xml:space="preserve">podporo novemu področju v sklopu </w:t>
      </w:r>
      <w:r w:rsidR="34CC78B0" w:rsidRPr="320083EE">
        <w:rPr>
          <w:rFonts w:cs="Arial"/>
        </w:rPr>
        <w:t xml:space="preserve">zadevnega </w:t>
      </w:r>
      <w:r w:rsidR="057A0B83" w:rsidRPr="320083EE">
        <w:rPr>
          <w:rFonts w:cs="Arial"/>
        </w:rPr>
        <w:t>specifičnega cilja</w:t>
      </w:r>
      <w:r w:rsidRPr="320083EE">
        <w:rPr>
          <w:rFonts w:cs="Arial"/>
        </w:rPr>
        <w:t>:</w:t>
      </w:r>
    </w:p>
    <w:p w14:paraId="484E7034" w14:textId="77777777" w:rsidR="001E28B7" w:rsidRPr="001E28B7" w:rsidRDefault="001E28B7" w:rsidP="001E28B7">
      <w:pPr>
        <w:spacing w:after="0"/>
        <w:jc w:val="both"/>
        <w:rPr>
          <w:rFonts w:cs="Arial"/>
          <w:szCs w:val="20"/>
        </w:rPr>
      </w:pPr>
      <w:r w:rsidRPr="001E28B7">
        <w:rPr>
          <w:rFonts w:cs="Arial"/>
          <w:szCs w:val="20"/>
        </w:rPr>
        <w:t>• spodbujanje udeležbe zaposlenih v lastništvu podjetja:</w:t>
      </w:r>
    </w:p>
    <w:p w14:paraId="68BECB63" w14:textId="3864E9A3" w:rsidR="00CF4429" w:rsidRDefault="001E28B7" w:rsidP="628E4A65">
      <w:pPr>
        <w:spacing w:after="0"/>
        <w:jc w:val="both"/>
        <w:rPr>
          <w:rFonts w:cs="Arial"/>
        </w:rPr>
      </w:pPr>
      <w:r w:rsidRPr="628E4A65">
        <w:rPr>
          <w:rFonts w:cs="Arial"/>
        </w:rPr>
        <w:t>obravnavanje nasledstvene krize v slovenskih podjetjih, ki bi lahko imela pomembne gospodarske in socialne posledice. Analize kažejo, da se bo skoraj 40 % lastnikov podjetij upokojilo v naslednjem desetletju, le četrtina ima načrt nasledstva, kar pomeni veliko tveganje zaprtja podjetij in izgube delovnih mest. Te razmere ogrožajo približno 25 % delovnih mest v zasebnem sektorju v Sloveniji, ki vpliva na več kot 170.000 delavcev. S spodbujanjem udeležbe zaposlenih v lastništvu podjetja lahko Slovenija zagotovi neprekinjeno poslovanje in ohrani delovna mesta. Ta pristop tudi ohranja lokalna podjetja, spodbuja bolj vključujoče in odporno gospodarstvo ter s tem podpira širše cilje socialne in ekonomske kohezije v EU.</w:t>
      </w:r>
    </w:p>
    <w:p w14:paraId="45D576B6" w14:textId="7DF6D5CC" w:rsidR="628E4A65" w:rsidRDefault="628E4A65" w:rsidP="628E4A65">
      <w:pPr>
        <w:spacing w:after="0"/>
        <w:jc w:val="both"/>
        <w:rPr>
          <w:rFonts w:cs="Arial"/>
        </w:rPr>
      </w:pPr>
    </w:p>
    <w:p w14:paraId="0CDDD223" w14:textId="77777777" w:rsidR="008651F6" w:rsidRDefault="008651F6" w:rsidP="008651F6">
      <w:pPr>
        <w:pStyle w:val="Odstavekseznama"/>
        <w:numPr>
          <w:ilvl w:val="0"/>
          <w:numId w:val="35"/>
        </w:numPr>
        <w:spacing w:after="0"/>
        <w:rPr>
          <w:rFonts w:cs="Arial"/>
          <w:b/>
          <w:bCs/>
          <w:szCs w:val="20"/>
          <w:u w:val="single"/>
        </w:rPr>
      </w:pPr>
      <w:r w:rsidRPr="009469ED">
        <w:rPr>
          <w:rFonts w:cs="Arial"/>
          <w:b/>
          <w:bCs/>
          <w:szCs w:val="20"/>
          <w:u w:val="single"/>
        </w:rPr>
        <w:t>Opis spremembe glavne ciljne skupine</w:t>
      </w:r>
    </w:p>
    <w:p w14:paraId="70B0E292" w14:textId="77777777" w:rsidR="00C17962" w:rsidRPr="009469ED" w:rsidRDefault="00C17962" w:rsidP="00C17962">
      <w:pPr>
        <w:pStyle w:val="Odstavekseznama"/>
        <w:spacing w:after="0"/>
        <w:rPr>
          <w:rFonts w:cs="Arial"/>
          <w:b/>
          <w:bCs/>
          <w:szCs w:val="20"/>
          <w:u w:val="single"/>
        </w:rPr>
      </w:pPr>
    </w:p>
    <w:p w14:paraId="34D349FA" w14:textId="2C308CA1" w:rsidR="008651F6" w:rsidRDefault="008651F6" w:rsidP="628E4A65">
      <w:pPr>
        <w:spacing w:after="0"/>
        <w:jc w:val="both"/>
        <w:rPr>
          <w:rFonts w:cs="Arial"/>
          <w:szCs w:val="20"/>
        </w:rPr>
      </w:pPr>
      <w:r w:rsidRPr="008651F6">
        <w:rPr>
          <w:rFonts w:cs="Arial"/>
          <w:szCs w:val="20"/>
        </w:rPr>
        <w:t xml:space="preserve">Ministrstvo za delo, družino, socialne zadeve in enake možnosti v vlogi posredniškega telesa, je pri usklajevanju in pripravi operacij v okviru zadevnega specifičnega cilja ugotovilo, da obstaja več </w:t>
      </w:r>
      <w:r w:rsidR="000B0600" w:rsidRPr="628E4A65">
        <w:rPr>
          <w:rFonts w:cs="Arial"/>
        </w:rPr>
        <w:t>upravičencev</w:t>
      </w:r>
      <w:r w:rsidRPr="008651F6">
        <w:rPr>
          <w:rFonts w:cs="Arial"/>
          <w:szCs w:val="20"/>
        </w:rPr>
        <w:t xml:space="preserve">, ki bi lahko prispevale k doseganju ciljev specifičnega cilja, zato je predlagalo dopolnitev upravičencev z: Zavod Republike Slovenije za zaposlovanje (ZRSZ), Nacionalni inštitut za javno zdravje </w:t>
      </w:r>
      <w:r w:rsidRPr="008651F6">
        <w:rPr>
          <w:rFonts w:cs="Arial"/>
          <w:szCs w:val="20"/>
        </w:rPr>
        <w:lastRenderedPageBreak/>
        <w:t>(NIJZ) in Univerzitetni klinični center (UKC), Klinični inštitut za medicino dela, prometa in športa</w:t>
      </w:r>
      <w:r w:rsidR="00E459E8">
        <w:rPr>
          <w:rFonts w:cs="Arial"/>
          <w:szCs w:val="20"/>
        </w:rPr>
        <w:t>, občine, zaposleni, zadruge</w:t>
      </w:r>
      <w:r w:rsidRPr="008651F6">
        <w:rPr>
          <w:rFonts w:cs="Arial"/>
          <w:szCs w:val="20"/>
        </w:rPr>
        <w:t xml:space="preserve">. </w:t>
      </w:r>
    </w:p>
    <w:p w14:paraId="2353452E" w14:textId="77777777" w:rsidR="00C17962" w:rsidRPr="008651F6" w:rsidRDefault="00C17962" w:rsidP="628E4A65">
      <w:pPr>
        <w:spacing w:after="0"/>
        <w:jc w:val="both"/>
        <w:rPr>
          <w:rFonts w:cs="Arial"/>
          <w:szCs w:val="20"/>
        </w:rPr>
      </w:pPr>
    </w:p>
    <w:p w14:paraId="28C9DDAE" w14:textId="77777777" w:rsidR="008651F6" w:rsidRPr="008651F6" w:rsidRDefault="008651F6" w:rsidP="009469ED">
      <w:pPr>
        <w:spacing w:after="0"/>
        <w:jc w:val="both"/>
        <w:rPr>
          <w:rFonts w:cs="Arial"/>
          <w:szCs w:val="20"/>
        </w:rPr>
      </w:pPr>
      <w:r w:rsidRPr="008651F6">
        <w:rPr>
          <w:rFonts w:cs="Arial"/>
          <w:szCs w:val="20"/>
        </w:rPr>
        <w:t>V razdelku glavne ciljne skupine se zato spremeni navedba pri upravičencih, in sicer se iz »Upravičenci: fundacije, socialni partnerji, NVO, ZPIZ, JŠRIPS, Inšpektorat RS za delo, URSIKS, ministrstvi, pristojni za javno upravo ter delo.«</w:t>
      </w:r>
    </w:p>
    <w:p w14:paraId="634A183A" w14:textId="77777777" w:rsidR="008651F6" w:rsidRPr="008651F6" w:rsidRDefault="008651F6" w:rsidP="009469ED">
      <w:pPr>
        <w:spacing w:after="0"/>
        <w:rPr>
          <w:rFonts w:cs="Arial"/>
          <w:szCs w:val="20"/>
        </w:rPr>
      </w:pPr>
    </w:p>
    <w:p w14:paraId="2C9055DE" w14:textId="77777777" w:rsidR="008651F6" w:rsidRPr="008651F6" w:rsidRDefault="008651F6" w:rsidP="009469ED">
      <w:pPr>
        <w:spacing w:after="0"/>
        <w:rPr>
          <w:rFonts w:cs="Arial"/>
          <w:szCs w:val="20"/>
        </w:rPr>
      </w:pPr>
      <w:r w:rsidRPr="008651F6">
        <w:rPr>
          <w:rFonts w:cs="Arial"/>
          <w:szCs w:val="20"/>
        </w:rPr>
        <w:t>spremeni v</w:t>
      </w:r>
    </w:p>
    <w:p w14:paraId="383AF599" w14:textId="77777777" w:rsidR="008651F6" w:rsidRPr="008651F6" w:rsidRDefault="008651F6" w:rsidP="009469ED">
      <w:pPr>
        <w:pStyle w:val="Odstavekseznama"/>
        <w:spacing w:after="0"/>
        <w:rPr>
          <w:rFonts w:cs="Arial"/>
          <w:szCs w:val="20"/>
        </w:rPr>
      </w:pPr>
    </w:p>
    <w:p w14:paraId="48ECC127" w14:textId="2063BDA4" w:rsidR="008651F6" w:rsidRPr="008651F6" w:rsidRDefault="008651F6" w:rsidP="009469ED">
      <w:pPr>
        <w:spacing w:after="0"/>
        <w:jc w:val="both"/>
        <w:rPr>
          <w:rFonts w:cs="Arial"/>
          <w:szCs w:val="20"/>
        </w:rPr>
      </w:pPr>
      <w:r w:rsidRPr="008651F6">
        <w:rPr>
          <w:rFonts w:cs="Arial"/>
          <w:szCs w:val="20"/>
        </w:rPr>
        <w:t>»Upravičenci: fundacije, socialni partnerji, NVO, ZPIZ, JŠRIPS, Inšpektorat RS za delo, URSIKS, Zavod Republike Slovenije za zaposlovanje (ZRSZ), Nacionalni inštitut za javno zdravje in Univerzitetni klinični center, Klinični inštitut za medicino dela, prometa in športa,</w:t>
      </w:r>
      <w:r w:rsidR="006E6E59" w:rsidRPr="006E6E59">
        <w:rPr>
          <w:rFonts w:cs="Arial"/>
          <w:szCs w:val="20"/>
        </w:rPr>
        <w:t xml:space="preserve"> </w:t>
      </w:r>
      <w:r w:rsidR="006E6E59" w:rsidRPr="008651F6">
        <w:rPr>
          <w:rFonts w:cs="Arial"/>
          <w:szCs w:val="20"/>
        </w:rPr>
        <w:t>zadruge, občine, zaposleni</w:t>
      </w:r>
      <w:r w:rsidR="006E6E59">
        <w:rPr>
          <w:rFonts w:cs="Arial"/>
          <w:szCs w:val="20"/>
        </w:rPr>
        <w:t>,</w:t>
      </w:r>
      <w:r w:rsidRPr="008651F6">
        <w:rPr>
          <w:rFonts w:cs="Arial"/>
          <w:szCs w:val="20"/>
        </w:rPr>
        <w:t xml:space="preserve"> ministrstvi, pristojni za javno upravo ter delo in drugi, ki lahko prispevajo k doseganju ciljev tega specifičnega cilja.«</w:t>
      </w:r>
    </w:p>
    <w:p w14:paraId="3DBAD574" w14:textId="77777777" w:rsidR="008651F6" w:rsidRPr="008651F6" w:rsidRDefault="008651F6" w:rsidP="009469ED">
      <w:pPr>
        <w:pStyle w:val="Odstavekseznama"/>
        <w:spacing w:after="0"/>
        <w:rPr>
          <w:rFonts w:cs="Arial"/>
          <w:szCs w:val="20"/>
        </w:rPr>
      </w:pPr>
    </w:p>
    <w:p w14:paraId="439B8647" w14:textId="77777777" w:rsidR="008651F6" w:rsidRPr="008651F6" w:rsidRDefault="008651F6" w:rsidP="009469ED">
      <w:pPr>
        <w:spacing w:after="0"/>
        <w:jc w:val="both"/>
        <w:rPr>
          <w:rFonts w:cs="Arial"/>
          <w:szCs w:val="20"/>
        </w:rPr>
      </w:pPr>
      <w:r w:rsidRPr="00D767D6">
        <w:rPr>
          <w:rFonts w:cs="Arial"/>
          <w:szCs w:val="20"/>
          <w:u w:val="single"/>
        </w:rPr>
        <w:t>Obrazložitev:</w:t>
      </w:r>
      <w:r w:rsidRPr="008651F6">
        <w:rPr>
          <w:rFonts w:cs="Arial"/>
          <w:szCs w:val="20"/>
        </w:rPr>
        <w:t xml:space="preserve"> ZRSZ je ena ključnih ustanov na trgu dela, ki ima status javnega zavoda s pravicami, obveznostmi in odgovornostmi, določenimi v Zakonu o urejanju trga dela (Uradni list RS, št. 80/10, 40/12 – ZUJF, 21/13, 63/13, 100/13, 32/14 – ZPDZC-1, 47/15 – ZZSDT, 55/17, 75/19, 11/20 – </w:t>
      </w:r>
      <w:proofErr w:type="spellStart"/>
      <w:r w:rsidRPr="008651F6">
        <w:rPr>
          <w:rFonts w:cs="Arial"/>
          <w:szCs w:val="20"/>
        </w:rPr>
        <w:t>odl</w:t>
      </w:r>
      <w:proofErr w:type="spellEnd"/>
      <w:r w:rsidRPr="008651F6">
        <w:rPr>
          <w:rFonts w:cs="Arial"/>
          <w:szCs w:val="20"/>
        </w:rPr>
        <w:t xml:space="preserve">. US, 189/20 – ZFRO, 54/21, 172/21 – </w:t>
      </w:r>
      <w:proofErr w:type="spellStart"/>
      <w:r w:rsidRPr="008651F6">
        <w:rPr>
          <w:rFonts w:cs="Arial"/>
          <w:szCs w:val="20"/>
        </w:rPr>
        <w:t>ZODPol</w:t>
      </w:r>
      <w:proofErr w:type="spellEnd"/>
      <w:r w:rsidRPr="008651F6">
        <w:rPr>
          <w:rFonts w:cs="Arial"/>
          <w:szCs w:val="20"/>
        </w:rPr>
        <w:t xml:space="preserve">-G, 54/22, 59/22 – </w:t>
      </w:r>
      <w:proofErr w:type="spellStart"/>
      <w:r w:rsidRPr="008651F6">
        <w:rPr>
          <w:rFonts w:cs="Arial"/>
          <w:szCs w:val="20"/>
        </w:rPr>
        <w:t>odl</w:t>
      </w:r>
      <w:proofErr w:type="spellEnd"/>
      <w:r w:rsidRPr="008651F6">
        <w:rPr>
          <w:rFonts w:cs="Arial"/>
          <w:szCs w:val="20"/>
        </w:rPr>
        <w:t>. US in 109/23; v nadaljevanju: ZUTD). Izvaja ukrepe na področju trga dela v skladu z ZUTD in predpisi, izdanimi na njegovi podlagi, pravom, ki velja za državljane Evropske unije, Evropskega gospodarskega prostora in Švicarske konfederacije, mednarodnimi sporazumi. Eden izmed poglavitnih strateških ciljev ZRSZ je informiranje in ozaveščanje tako brezposelnih in iskalcev zaposlitve kot tudi delodajalcev ter karierno svetovanje, podaljševanje delovne aktivnosti in preprečevanje prehajanja v neaktivnost še pred izpolnitvijo pogojev za upokojitev oz. preprečevanje »čakanje na upokojitev« (»</w:t>
      </w:r>
      <w:proofErr w:type="spellStart"/>
      <w:r w:rsidRPr="008651F6">
        <w:rPr>
          <w:rFonts w:cs="Arial"/>
          <w:szCs w:val="20"/>
        </w:rPr>
        <w:t>bridges</w:t>
      </w:r>
      <w:proofErr w:type="spellEnd"/>
      <w:r w:rsidRPr="008651F6">
        <w:rPr>
          <w:rFonts w:cs="Arial"/>
          <w:szCs w:val="20"/>
        </w:rPr>
        <w:t xml:space="preserve"> to </w:t>
      </w:r>
      <w:proofErr w:type="spellStart"/>
      <w:r w:rsidRPr="008651F6">
        <w:rPr>
          <w:rFonts w:cs="Arial"/>
          <w:szCs w:val="20"/>
        </w:rPr>
        <w:t>retirement</w:t>
      </w:r>
      <w:proofErr w:type="spellEnd"/>
      <w:r w:rsidRPr="008651F6">
        <w:rPr>
          <w:rFonts w:cs="Arial"/>
          <w:szCs w:val="20"/>
        </w:rPr>
        <w:t xml:space="preserve">«). </w:t>
      </w:r>
    </w:p>
    <w:p w14:paraId="407B220B" w14:textId="77777777" w:rsidR="008651F6" w:rsidRPr="008651F6" w:rsidRDefault="008651F6" w:rsidP="009469ED">
      <w:pPr>
        <w:spacing w:after="0"/>
        <w:rPr>
          <w:rFonts w:cs="Arial"/>
          <w:szCs w:val="20"/>
        </w:rPr>
      </w:pPr>
    </w:p>
    <w:p w14:paraId="4ED5C814" w14:textId="77777777" w:rsidR="008651F6" w:rsidRPr="008651F6" w:rsidRDefault="008651F6" w:rsidP="009469ED">
      <w:pPr>
        <w:spacing w:after="0"/>
        <w:jc w:val="both"/>
        <w:rPr>
          <w:rFonts w:cs="Arial"/>
          <w:szCs w:val="20"/>
        </w:rPr>
      </w:pPr>
      <w:r w:rsidRPr="008651F6">
        <w:rPr>
          <w:rFonts w:cs="Arial"/>
          <w:szCs w:val="20"/>
        </w:rPr>
        <w:t>NIJZ je osrednja nacionalna ustanova, ustanovljena s Sklepom vlade RS št. 0140-103/2018/106 z dne 28. 5. 2021, katere glavni namen je proučevanje, varovanje in zviševanje ravni zdravja prebivalstva s pomočjo preventivnih ukrepov. Poleg osrednje vloge v dejavnosti javnega zdravja v Sloveniji NIJZ deluje oz. je deloval na več projektih, ki so povezani s starajočo populacijo in ohranjanje delovnih sposobnosti preko krepitve zdravega življenjskega sloga. NIJZ lahko prispeva tudi k doseganju cilja celovitega pristopa k področju varnosti in zdravja pri delu, skupaj z vsemi podcilji: dvig kulture varnosti in zdravja pri delu; dvig usposobljenosti strokovnih delavk/delavcev za varnost pri delu; dvig usposobljenosti in ozaveščenosti socialnih partnerjev; dvig usposobljenosti in ozaveščenosti delavk in delavcev; digitalizacija področja in povezanost baz podatkov; pridobitev ustreznih anketnih podatkov na izbranih področjih.</w:t>
      </w:r>
    </w:p>
    <w:p w14:paraId="7A697710" w14:textId="77777777" w:rsidR="008651F6" w:rsidRPr="008651F6" w:rsidRDefault="008651F6" w:rsidP="009469ED">
      <w:pPr>
        <w:spacing w:after="0"/>
        <w:rPr>
          <w:rFonts w:cs="Arial"/>
          <w:szCs w:val="20"/>
        </w:rPr>
      </w:pPr>
    </w:p>
    <w:p w14:paraId="4D426D8C" w14:textId="2C12ACB6" w:rsidR="008651F6" w:rsidRPr="008651F6" w:rsidRDefault="008651F6" w:rsidP="009469ED">
      <w:pPr>
        <w:spacing w:after="0"/>
        <w:jc w:val="both"/>
        <w:rPr>
          <w:rFonts w:cs="Arial"/>
          <w:szCs w:val="20"/>
        </w:rPr>
      </w:pPr>
      <w:r w:rsidRPr="008651F6">
        <w:rPr>
          <w:rFonts w:cs="Arial"/>
          <w:szCs w:val="20"/>
        </w:rPr>
        <w:t>KIMDPŠ deluje kot samostojna enota znotraj UKC Ljubljana, katerega poslanstvo je vplivati na izboljševanje zdravja aktivne populacije. Zadnja leta KIMDPŠ v svoje delo vnaša nove vsebine, značilne za podobne ustanove v Evropi in svetu, in skrbi za razvoj doktrine o zdravju delavcev v skladu s konvencijami in direktivami EU s področja zdravja in varnosti pri delu. Glavna področja dela KIMDPŠ predstavljajo poklicne bolezni in ocenjevanje delazmožnosti, ergonomija in fiziologija dela, industrijska toksikologija in industrijska higiena, epidemiologija delovnega okolja, varnost in zdravje v prometu, psihologija in humanizacija dela, promocija zdravja pri delu ter medicina športa. KIMDPŠ krepi razvoj promocije zdravja pri delu, ki je bil doslej precej zanemarjen, številne raziskave pa so dokazale, da osveščanje o zdravem delovnem in življenjskem slogu ter spreminjanje delovnega okolja v prid zdravju koristi tako delavcem kot tudi podjetjem in širši družbi.</w:t>
      </w:r>
    </w:p>
    <w:p w14:paraId="0E9A25B9" w14:textId="77777777" w:rsidR="00313C2B" w:rsidRDefault="00313C2B" w:rsidP="0D9B30E1">
      <w:pPr>
        <w:spacing w:after="0"/>
        <w:rPr>
          <w:rFonts w:cs="Arial"/>
        </w:rPr>
      </w:pPr>
    </w:p>
    <w:p w14:paraId="1751E825" w14:textId="77777777" w:rsidR="005807DB" w:rsidRDefault="005807DB" w:rsidP="0D9B30E1">
      <w:pPr>
        <w:spacing w:after="0"/>
        <w:jc w:val="both"/>
        <w:rPr>
          <w:rFonts w:cs="Arial"/>
        </w:rPr>
      </w:pPr>
      <w:r w:rsidRPr="0D9B30E1">
        <w:rPr>
          <w:rFonts w:cs="Arial"/>
        </w:rPr>
        <w:t xml:space="preserve">Občine lahko prispevajo k spodbujanju in zagotavljanju boljšega delovnega okolja svojih občanov v primerih prožnih oblik dela. </w:t>
      </w:r>
    </w:p>
    <w:p w14:paraId="3C439D9F" w14:textId="77777777" w:rsidR="005807DB" w:rsidRDefault="005807DB" w:rsidP="0D9B30E1">
      <w:pPr>
        <w:spacing w:after="0"/>
        <w:jc w:val="both"/>
        <w:rPr>
          <w:rFonts w:cs="Arial"/>
        </w:rPr>
      </w:pPr>
    </w:p>
    <w:p w14:paraId="0902AFDC" w14:textId="77777777" w:rsidR="005807DB" w:rsidRDefault="005807DB" w:rsidP="0D9B30E1">
      <w:pPr>
        <w:spacing w:after="0"/>
        <w:jc w:val="both"/>
        <w:rPr>
          <w:rFonts w:cs="Arial"/>
        </w:rPr>
      </w:pPr>
      <w:r w:rsidRPr="0D9B30E1">
        <w:rPr>
          <w:rFonts w:cs="Arial"/>
        </w:rPr>
        <w:t>Zaposleni in zadruge so prepoznani kot možni upravičenci novega ukrepa, podprtega s finančnimi instrumenti.</w:t>
      </w:r>
    </w:p>
    <w:p w14:paraId="47214F42" w14:textId="77777777" w:rsidR="005807DB" w:rsidRDefault="005807DB" w:rsidP="0D9B30E1">
      <w:pPr>
        <w:spacing w:after="0"/>
        <w:jc w:val="both"/>
        <w:rPr>
          <w:rFonts w:cs="Arial"/>
        </w:rPr>
      </w:pPr>
    </w:p>
    <w:p w14:paraId="4FE6D91B" w14:textId="77777777" w:rsidR="00C17962" w:rsidRDefault="00C17962" w:rsidP="0D9B30E1">
      <w:pPr>
        <w:spacing w:after="0"/>
        <w:jc w:val="both"/>
        <w:rPr>
          <w:rFonts w:cs="Arial"/>
        </w:rPr>
      </w:pPr>
    </w:p>
    <w:p w14:paraId="04715BD5" w14:textId="77777777" w:rsidR="00C17962" w:rsidRDefault="00C17962" w:rsidP="0D9B30E1">
      <w:pPr>
        <w:spacing w:after="0"/>
        <w:jc w:val="both"/>
        <w:rPr>
          <w:rFonts w:cs="Arial"/>
        </w:rPr>
      </w:pPr>
    </w:p>
    <w:p w14:paraId="2D4B4D9E" w14:textId="77777777" w:rsidR="00C17962" w:rsidRDefault="00C17962" w:rsidP="0D9B30E1">
      <w:pPr>
        <w:spacing w:after="0"/>
        <w:jc w:val="both"/>
        <w:rPr>
          <w:rFonts w:cs="Arial"/>
        </w:rPr>
      </w:pPr>
    </w:p>
    <w:p w14:paraId="7D801FC9" w14:textId="77777777" w:rsidR="00C17962" w:rsidRDefault="00C17962" w:rsidP="0D9B30E1">
      <w:pPr>
        <w:spacing w:after="0"/>
        <w:jc w:val="both"/>
        <w:rPr>
          <w:rFonts w:cs="Arial"/>
        </w:rPr>
      </w:pPr>
    </w:p>
    <w:p w14:paraId="63EA63A0" w14:textId="4392487E" w:rsidR="005807DB" w:rsidRPr="00443178" w:rsidRDefault="7BC76D23" w:rsidP="0D9B30E1">
      <w:pPr>
        <w:pStyle w:val="Odstavekseznama"/>
        <w:numPr>
          <w:ilvl w:val="0"/>
          <w:numId w:val="35"/>
        </w:numPr>
        <w:spacing w:after="0"/>
        <w:jc w:val="both"/>
        <w:rPr>
          <w:rFonts w:cs="Arial"/>
          <w:b/>
          <w:bCs/>
          <w:u w:val="single"/>
        </w:rPr>
      </w:pPr>
      <w:r w:rsidRPr="00443178">
        <w:rPr>
          <w:rFonts w:cs="Arial"/>
          <w:b/>
          <w:bCs/>
          <w:u w:val="single"/>
        </w:rPr>
        <w:t xml:space="preserve">Sprememba </w:t>
      </w:r>
      <w:r w:rsidR="620176B9" w:rsidRPr="00443178">
        <w:rPr>
          <w:rFonts w:cs="Arial"/>
          <w:b/>
          <w:bCs/>
          <w:u w:val="single"/>
        </w:rPr>
        <w:t>n</w:t>
      </w:r>
      <w:r w:rsidR="351D9077" w:rsidRPr="00443178">
        <w:rPr>
          <w:rFonts w:cs="Arial"/>
          <w:b/>
          <w:bCs/>
          <w:u w:val="single"/>
        </w:rPr>
        <w:t>ačrtovan</w:t>
      </w:r>
      <w:r w:rsidR="425EEEEF" w:rsidRPr="00443178">
        <w:rPr>
          <w:rFonts w:cs="Arial"/>
          <w:b/>
          <w:bCs/>
          <w:u w:val="single"/>
        </w:rPr>
        <w:t>e</w:t>
      </w:r>
      <w:r w:rsidR="351D9077" w:rsidRPr="00443178">
        <w:rPr>
          <w:rFonts w:cs="Arial"/>
          <w:b/>
          <w:bCs/>
          <w:u w:val="single"/>
        </w:rPr>
        <w:t xml:space="preserve"> uporab</w:t>
      </w:r>
      <w:r w:rsidR="6154E08C" w:rsidRPr="00443178">
        <w:rPr>
          <w:rFonts w:cs="Arial"/>
          <w:b/>
          <w:bCs/>
          <w:u w:val="single"/>
        </w:rPr>
        <w:t>e</w:t>
      </w:r>
      <w:r w:rsidR="005807DB" w:rsidRPr="00443178">
        <w:rPr>
          <w:rFonts w:cs="Arial"/>
          <w:b/>
          <w:bCs/>
          <w:u w:val="single"/>
        </w:rPr>
        <w:t xml:space="preserve"> finančnih instrumentov</w:t>
      </w:r>
    </w:p>
    <w:p w14:paraId="4EB7A137" w14:textId="6C05A0AF" w:rsidR="005807DB" w:rsidRDefault="00D767D6" w:rsidP="0D9B30E1">
      <w:pPr>
        <w:spacing w:after="0"/>
        <w:jc w:val="both"/>
        <w:rPr>
          <w:rFonts w:cs="Arial"/>
        </w:rPr>
      </w:pPr>
      <w:r>
        <w:rPr>
          <w:rFonts w:cs="Arial"/>
        </w:rPr>
        <w:t>Razdelek se dopolni na način, da se opredeli, da so v okviru ukrepa večinoma predvidena nepovratna sredstva, da pa je bila v skladu z analizami</w:t>
      </w:r>
      <w:r w:rsidR="00F7498E">
        <w:rPr>
          <w:rStyle w:val="Sprotnaopomba-sklic"/>
          <w:rFonts w:cs="Arial"/>
        </w:rPr>
        <w:footnoteReference w:id="16"/>
      </w:r>
      <w:r>
        <w:rPr>
          <w:rFonts w:cs="Arial"/>
        </w:rPr>
        <w:t xml:space="preserve"> ugotovljena visoka </w:t>
      </w:r>
      <w:r w:rsidR="005807DB" w:rsidRPr="0D9B30E1">
        <w:rPr>
          <w:rFonts w:cs="Arial"/>
        </w:rPr>
        <w:t xml:space="preserve">vrzel za ciljno skupino zaposlenih, ki bi sodelovali v lastništvu podjetij. </w:t>
      </w:r>
      <w:r w:rsidR="00E8068B">
        <w:rPr>
          <w:rFonts w:cs="Arial"/>
        </w:rPr>
        <w:t>Načrtuje se uporab</w:t>
      </w:r>
      <w:r w:rsidR="008A5704">
        <w:rPr>
          <w:rFonts w:cs="Arial"/>
        </w:rPr>
        <w:t>a</w:t>
      </w:r>
      <w:r w:rsidR="00E8068B">
        <w:rPr>
          <w:rFonts w:cs="Arial"/>
        </w:rPr>
        <w:t xml:space="preserve"> finančnih instrumentov</w:t>
      </w:r>
      <w:r>
        <w:rPr>
          <w:rFonts w:cs="Arial"/>
        </w:rPr>
        <w:t xml:space="preserve"> </w:t>
      </w:r>
      <w:r w:rsidR="005807DB" w:rsidRPr="0D9B30E1">
        <w:rPr>
          <w:rFonts w:cs="Arial"/>
        </w:rPr>
        <w:t xml:space="preserve">v obliki garancij in dolžniškega financiranja. V Programu je podan indikativen obseg sredstev, namenjenih za FI, natančneje pa bodo določena </w:t>
      </w:r>
      <w:r w:rsidR="00F7498E">
        <w:rPr>
          <w:rFonts w:cs="Arial"/>
        </w:rPr>
        <w:t xml:space="preserve">po </w:t>
      </w:r>
      <w:r w:rsidR="00F7498E" w:rsidRPr="00F7498E">
        <w:rPr>
          <w:rFonts w:cs="Arial"/>
        </w:rPr>
        <w:t>opravljeni dodatni analizi trga, ki bo dopolnila Predhodno</w:t>
      </w:r>
      <w:r w:rsidR="005807DB" w:rsidRPr="0D9B30E1">
        <w:rPr>
          <w:rFonts w:cs="Arial"/>
        </w:rPr>
        <w:t xml:space="preserve"> ocen</w:t>
      </w:r>
      <w:r w:rsidR="00F7498E">
        <w:rPr>
          <w:rFonts w:cs="Arial"/>
        </w:rPr>
        <w:t>o</w:t>
      </w:r>
      <w:r w:rsidR="005807DB" w:rsidRPr="0D9B30E1">
        <w:rPr>
          <w:rFonts w:cs="Arial"/>
        </w:rPr>
        <w:t xml:space="preserve"> potreb trga in vrzeli financiranja na trgu za izvajanje finančnih instrumentov v programskem obdobju 2021-2027.</w:t>
      </w:r>
    </w:p>
    <w:p w14:paraId="2640C36D" w14:textId="77777777" w:rsidR="00EF7A6C" w:rsidRDefault="00EF7A6C" w:rsidP="0D9B30E1">
      <w:pPr>
        <w:spacing w:after="0"/>
        <w:rPr>
          <w:rFonts w:cs="Arial"/>
        </w:rPr>
      </w:pPr>
    </w:p>
    <w:p w14:paraId="06AA01EE" w14:textId="6240C5CF" w:rsidR="00FA66CF" w:rsidRDefault="7B54FE0F" w:rsidP="37661B9F">
      <w:pPr>
        <w:pStyle w:val="Odstavekseznama"/>
        <w:numPr>
          <w:ilvl w:val="0"/>
          <w:numId w:val="35"/>
        </w:numPr>
        <w:spacing w:after="0"/>
        <w:jc w:val="both"/>
        <w:rPr>
          <w:rFonts w:cs="Arial"/>
          <w:b/>
          <w:bCs/>
          <w:u w:val="single"/>
        </w:rPr>
      </w:pPr>
      <w:r w:rsidRPr="00443178">
        <w:rPr>
          <w:rFonts w:cs="Arial"/>
          <w:b/>
          <w:bCs/>
          <w:u w:val="single"/>
        </w:rPr>
        <w:t>Sprememb</w:t>
      </w:r>
      <w:r w:rsidR="41924F31" w:rsidRPr="00443178">
        <w:rPr>
          <w:rFonts w:cs="Arial"/>
          <w:b/>
          <w:bCs/>
          <w:u w:val="single"/>
        </w:rPr>
        <w:t>e</w:t>
      </w:r>
      <w:r w:rsidRPr="00443178">
        <w:rPr>
          <w:rFonts w:cs="Arial"/>
          <w:b/>
          <w:bCs/>
          <w:u w:val="single"/>
        </w:rPr>
        <w:t xml:space="preserve"> kazalnikov in</w:t>
      </w:r>
      <w:r w:rsidR="1021DB7C" w:rsidRPr="00443178">
        <w:rPr>
          <w:rFonts w:cs="Arial"/>
          <w:b/>
          <w:bCs/>
          <w:u w:val="single"/>
        </w:rPr>
        <w:t xml:space="preserve"> ra</w:t>
      </w:r>
      <w:r w:rsidR="606AE213" w:rsidRPr="00443178">
        <w:rPr>
          <w:rFonts w:cs="Arial"/>
          <w:b/>
          <w:bCs/>
          <w:u w:val="single"/>
        </w:rPr>
        <w:t>z</w:t>
      </w:r>
      <w:r w:rsidR="1021DB7C" w:rsidRPr="00443178">
        <w:rPr>
          <w:rFonts w:cs="Arial"/>
          <w:b/>
          <w:bCs/>
          <w:u w:val="single"/>
        </w:rPr>
        <w:t>členitve</w:t>
      </w:r>
      <w:r w:rsidRPr="00443178">
        <w:rPr>
          <w:rFonts w:cs="Arial"/>
          <w:b/>
          <w:bCs/>
          <w:u w:val="single"/>
        </w:rPr>
        <w:t xml:space="preserve"> </w:t>
      </w:r>
      <w:r w:rsidR="515DD342" w:rsidRPr="00443178">
        <w:rPr>
          <w:rFonts w:cs="Arial"/>
          <w:b/>
          <w:bCs/>
          <w:u w:val="single"/>
        </w:rPr>
        <w:t>programskih</w:t>
      </w:r>
      <w:r w:rsidR="209FF80E" w:rsidRPr="00443178">
        <w:rPr>
          <w:rFonts w:cs="Arial"/>
          <w:b/>
          <w:bCs/>
          <w:u w:val="single"/>
        </w:rPr>
        <w:t xml:space="preserve"> </w:t>
      </w:r>
      <w:r w:rsidR="1F47E351" w:rsidRPr="00443178">
        <w:rPr>
          <w:rFonts w:cs="Arial"/>
          <w:b/>
          <w:bCs/>
          <w:u w:val="single"/>
        </w:rPr>
        <w:t>sredstev</w:t>
      </w:r>
    </w:p>
    <w:p w14:paraId="23E57B48" w14:textId="77777777" w:rsidR="00C76CE4" w:rsidRPr="00C76CE4" w:rsidRDefault="00C76CE4" w:rsidP="00C76CE4">
      <w:pPr>
        <w:spacing w:after="0"/>
        <w:jc w:val="both"/>
        <w:rPr>
          <w:rFonts w:cs="Arial"/>
          <w:b/>
          <w:bCs/>
          <w:u w:val="single"/>
        </w:rPr>
      </w:pPr>
    </w:p>
    <w:p w14:paraId="018C76E8" w14:textId="1521002A" w:rsidR="005807DB" w:rsidRPr="00FA66CF" w:rsidRDefault="1D944439" w:rsidP="00443178">
      <w:pPr>
        <w:spacing w:after="0"/>
        <w:jc w:val="both"/>
        <w:rPr>
          <w:rFonts w:cs="Arial"/>
        </w:rPr>
      </w:pPr>
      <w:r w:rsidRPr="139A6AC6">
        <w:rPr>
          <w:rFonts w:cs="Arial"/>
        </w:rPr>
        <w:t>Zaradi dodatnih sredstev se povišajo kazalniki učinka</w:t>
      </w:r>
      <w:r w:rsidR="50517B2C" w:rsidRPr="139A6AC6">
        <w:rPr>
          <w:rFonts w:cs="Arial"/>
        </w:rPr>
        <w:t xml:space="preserve"> število projektov na področju varnosti in zdravja pri delu (v sodelovanju s socialnimi partnerji)</w:t>
      </w:r>
      <w:r w:rsidRPr="139A6AC6">
        <w:rPr>
          <w:rFonts w:cs="Arial"/>
        </w:rPr>
        <w:t xml:space="preserve">, in sicer </w:t>
      </w:r>
      <w:r w:rsidR="06F40A5B" w:rsidRPr="139A6AC6">
        <w:rPr>
          <w:rFonts w:cs="Arial"/>
        </w:rPr>
        <w:t>na vsaki regiji za en projekt.</w:t>
      </w:r>
      <w:r w:rsidR="000939FA" w:rsidRPr="139A6AC6">
        <w:rPr>
          <w:rFonts w:cs="Arial"/>
        </w:rPr>
        <w:t xml:space="preserve"> Prav tako se doda novo področje ukrepanja, </w:t>
      </w:r>
      <w:r w:rsidR="71E887E9" w:rsidRPr="139A6AC6">
        <w:rPr>
          <w:rFonts w:cs="Arial"/>
        </w:rPr>
        <w:t>podpora za prilagajanje delavcev, podjetij in podjetnikov na spremembe</w:t>
      </w:r>
      <w:r w:rsidR="05BAE2C1" w:rsidRPr="139A6AC6">
        <w:rPr>
          <w:rFonts w:cs="Arial"/>
        </w:rPr>
        <w:t xml:space="preserve">, zvišajo se </w:t>
      </w:r>
      <w:r w:rsidR="0EE90FF0" w:rsidRPr="139A6AC6">
        <w:rPr>
          <w:rFonts w:cs="Arial"/>
        </w:rPr>
        <w:t>sredstva za ukrepe za spodbujanje aktivnega in zdravega staranja.</w:t>
      </w:r>
    </w:p>
    <w:p w14:paraId="4A378EFA" w14:textId="4C84A4C4" w:rsidR="2D3D9971" w:rsidRDefault="2D3D9971" w:rsidP="139A6AC6">
      <w:pPr>
        <w:spacing w:after="0"/>
        <w:rPr>
          <w:rFonts w:cs="Arial"/>
          <w:b/>
          <w:bCs/>
        </w:rPr>
      </w:pPr>
    </w:p>
    <w:p w14:paraId="4AA5E314" w14:textId="77777777" w:rsidR="00313C2B" w:rsidRPr="00674726" w:rsidRDefault="00313C2B" w:rsidP="00674726">
      <w:pPr>
        <w:pStyle w:val="Naslov3"/>
        <w:numPr>
          <w:ilvl w:val="2"/>
          <w:numId w:val="2"/>
        </w:numPr>
        <w:rPr>
          <w:color w:val="4472C4" w:themeColor="accent1"/>
        </w:rPr>
      </w:pPr>
      <w:bookmarkStart w:id="194" w:name="_Toc191383876"/>
      <w:r w:rsidRPr="00674726">
        <w:rPr>
          <w:color w:val="4472C4" w:themeColor="accent1"/>
        </w:rPr>
        <w:t>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bookmarkEnd w:id="194"/>
    </w:p>
    <w:p w14:paraId="59054AEF" w14:textId="77777777" w:rsidR="00313C2B" w:rsidRPr="009C4FEB" w:rsidRDefault="00313C2B" w:rsidP="00313C2B">
      <w:pPr>
        <w:spacing w:after="0"/>
        <w:jc w:val="both"/>
        <w:rPr>
          <w:rFonts w:cs="Arial"/>
          <w:b/>
          <w:bCs/>
          <w:szCs w:val="20"/>
        </w:rPr>
      </w:pPr>
    </w:p>
    <w:p w14:paraId="3B189668" w14:textId="77777777" w:rsidR="00313C2B" w:rsidRDefault="00313C2B" w:rsidP="00313C2B">
      <w:pPr>
        <w:numPr>
          <w:ilvl w:val="0"/>
          <w:numId w:val="28"/>
        </w:numPr>
        <w:spacing w:after="0"/>
        <w:contextualSpacing/>
        <w:jc w:val="both"/>
        <w:rPr>
          <w:rFonts w:cs="Arial"/>
          <w:b/>
          <w:bCs/>
          <w:szCs w:val="20"/>
          <w:u w:val="single"/>
        </w:rPr>
      </w:pPr>
      <w:r w:rsidRPr="00076FA4">
        <w:rPr>
          <w:rFonts w:cs="Arial"/>
          <w:b/>
          <w:bCs/>
          <w:szCs w:val="20"/>
          <w:u w:val="single"/>
        </w:rPr>
        <w:t>Sprememba opisa ukrepa</w:t>
      </w:r>
    </w:p>
    <w:p w14:paraId="6F2B0D50" w14:textId="77777777" w:rsidR="00C76CE4" w:rsidRPr="00076FA4" w:rsidRDefault="00C76CE4" w:rsidP="00C76CE4">
      <w:pPr>
        <w:spacing w:after="0"/>
        <w:contextualSpacing/>
        <w:jc w:val="both"/>
        <w:rPr>
          <w:rFonts w:cs="Arial"/>
          <w:b/>
          <w:bCs/>
          <w:szCs w:val="20"/>
          <w:u w:val="single"/>
        </w:rPr>
      </w:pPr>
    </w:p>
    <w:p w14:paraId="394ED69E" w14:textId="77777777" w:rsidR="00313C2B" w:rsidRPr="009C4FEB" w:rsidRDefault="00313C2B" w:rsidP="00313C2B">
      <w:pPr>
        <w:spacing w:after="0"/>
        <w:jc w:val="both"/>
        <w:rPr>
          <w:rFonts w:cs="Arial"/>
          <w:szCs w:val="20"/>
        </w:rPr>
      </w:pPr>
      <w:r w:rsidRPr="009C4FEB">
        <w:rPr>
          <w:rFonts w:cs="Arial"/>
          <w:szCs w:val="20"/>
        </w:rPr>
        <w:t>»V skladu z navedenim bodo podprta naslednja področja:</w:t>
      </w:r>
    </w:p>
    <w:p w14:paraId="208C4624" w14:textId="00B87F26" w:rsidR="00313C2B" w:rsidRPr="009C4FEB" w:rsidRDefault="00313C2B" w:rsidP="00313C2B">
      <w:pPr>
        <w:spacing w:after="0"/>
        <w:jc w:val="both"/>
        <w:rPr>
          <w:rFonts w:cs="Arial"/>
          <w:color w:val="000000"/>
          <w:szCs w:val="20"/>
        </w:rPr>
      </w:pPr>
      <w:r w:rsidRPr="009C4FEB">
        <w:rPr>
          <w:rFonts w:cs="Arial"/>
          <w:color w:val="000000"/>
          <w:szCs w:val="20"/>
        </w:rPr>
        <w:t>•</w:t>
      </w:r>
      <w:bookmarkStart w:id="195" w:name="_Hlk187239289"/>
      <w:r w:rsidR="006B110E">
        <w:rPr>
          <w:rFonts w:cs="Arial"/>
          <w:color w:val="000000"/>
          <w:szCs w:val="20"/>
        </w:rPr>
        <w:t xml:space="preserve"> </w:t>
      </w:r>
      <w:r w:rsidRPr="009C4FEB">
        <w:rPr>
          <w:rFonts w:cs="Arial"/>
          <w:i/>
          <w:iCs/>
          <w:color w:val="000000"/>
          <w:szCs w:val="20"/>
        </w:rPr>
        <w:t xml:space="preserve">izboljšanje kakovosti in učinkovitosti izobraževanja in usposabljanja, </w:t>
      </w:r>
      <w:bookmarkEnd w:id="195"/>
      <w:r w:rsidRPr="009C4FEB">
        <w:rPr>
          <w:rFonts w:cs="Arial"/>
          <w:color w:val="000000"/>
          <w:szCs w:val="20"/>
        </w:rPr>
        <w:t>in sicer:</w:t>
      </w:r>
    </w:p>
    <w:p w14:paraId="406B8548" w14:textId="75E47C4E" w:rsidR="00313C2B" w:rsidRPr="009C4FEB" w:rsidRDefault="6CBD500E" w:rsidP="00313C2B">
      <w:pPr>
        <w:spacing w:after="0"/>
        <w:jc w:val="both"/>
        <w:rPr>
          <w:rFonts w:cs="Arial"/>
        </w:rPr>
      </w:pPr>
      <w:r w:rsidRPr="0DE5D687">
        <w:rPr>
          <w:rFonts w:cs="Arial"/>
        </w:rPr>
        <w:t>o digitalna preobrazba izobraževanja, ki vključuje digitalno strategijo šole, krepitev pedagoških digitalnih kompetenc ter širjenje njihovih skupnosti za izmenjavo in vrednotenje dobre prakse, vpeljavo novih predmetov temeljnih vsebin računalništva in informatike, ustvarjalno rabo tehnologij, razvoj in vzpostavitev novih pedagoških modelov z uporabo e-vsebin, krepitev znanj s področja kibernetske varnosti in UI v skladu z Akcijskim načrtom za digitalno izobraževanje EK. Ukrepi bodo komplementarni vsebinam NOO, ki so namenjene sistemskim spremembam razvoja digitalnih kompetenc in temeljnih vsebin računalništva in informatike, s poudarkom pri pouku.«</w:t>
      </w:r>
    </w:p>
    <w:p w14:paraId="77E4E974" w14:textId="77777777" w:rsidR="00313C2B" w:rsidRPr="009C4FEB" w:rsidRDefault="00313C2B" w:rsidP="00313C2B">
      <w:pPr>
        <w:spacing w:after="0"/>
        <w:jc w:val="both"/>
        <w:rPr>
          <w:rFonts w:cs="Arial"/>
          <w:szCs w:val="20"/>
          <w:u w:val="single"/>
        </w:rPr>
      </w:pPr>
    </w:p>
    <w:p w14:paraId="23DD003A" w14:textId="77777777" w:rsidR="00313C2B" w:rsidRPr="009C4FEB" w:rsidRDefault="00313C2B" w:rsidP="00313C2B">
      <w:pPr>
        <w:spacing w:after="0"/>
        <w:jc w:val="both"/>
        <w:rPr>
          <w:rFonts w:cs="Arial"/>
          <w:szCs w:val="20"/>
        </w:rPr>
      </w:pPr>
      <w:r w:rsidRPr="007E721F">
        <w:rPr>
          <w:rFonts w:cs="Arial"/>
          <w:szCs w:val="20"/>
        </w:rPr>
        <w:t>se spremeni v</w:t>
      </w:r>
    </w:p>
    <w:p w14:paraId="705E78ED" w14:textId="77777777" w:rsidR="00313C2B" w:rsidRPr="009C4FEB" w:rsidRDefault="00313C2B" w:rsidP="00313C2B">
      <w:pPr>
        <w:spacing w:after="0"/>
        <w:jc w:val="both"/>
        <w:rPr>
          <w:rFonts w:cs="Arial"/>
          <w:szCs w:val="20"/>
        </w:rPr>
      </w:pPr>
    </w:p>
    <w:p w14:paraId="7351FD5A" w14:textId="77777777" w:rsidR="00313C2B" w:rsidRPr="009C4FEB" w:rsidRDefault="00313C2B" w:rsidP="00313C2B">
      <w:pPr>
        <w:spacing w:after="0"/>
        <w:jc w:val="both"/>
        <w:rPr>
          <w:rFonts w:cs="Arial"/>
          <w:szCs w:val="20"/>
        </w:rPr>
      </w:pPr>
      <w:r w:rsidRPr="009C4FEB">
        <w:rPr>
          <w:rFonts w:cs="Arial"/>
          <w:szCs w:val="20"/>
        </w:rPr>
        <w:t xml:space="preserve">»V skladu z navedenim bodo podprta naslednja področja: </w:t>
      </w:r>
    </w:p>
    <w:p w14:paraId="2B715D35" w14:textId="40F29565" w:rsidR="00313C2B" w:rsidRPr="009C4FEB" w:rsidRDefault="00313C2B" w:rsidP="00313C2B">
      <w:pPr>
        <w:spacing w:after="0"/>
        <w:jc w:val="both"/>
        <w:rPr>
          <w:rFonts w:cs="Arial"/>
          <w:color w:val="000000"/>
          <w:szCs w:val="20"/>
        </w:rPr>
      </w:pPr>
      <w:r w:rsidRPr="009C4FEB">
        <w:rPr>
          <w:rFonts w:cs="Arial"/>
          <w:color w:val="000000"/>
          <w:szCs w:val="20"/>
        </w:rPr>
        <w:t>•</w:t>
      </w:r>
      <w:r w:rsidR="006B110E">
        <w:rPr>
          <w:rFonts w:cs="Arial"/>
          <w:color w:val="000000"/>
          <w:szCs w:val="20"/>
        </w:rPr>
        <w:t xml:space="preserve"> </w:t>
      </w:r>
      <w:r w:rsidRPr="009C4FEB">
        <w:rPr>
          <w:rFonts w:cs="Arial"/>
          <w:i/>
          <w:iCs/>
          <w:color w:val="000000"/>
          <w:szCs w:val="20"/>
        </w:rPr>
        <w:t xml:space="preserve">izboljšanje kakovosti in učinkovitosti izobraževanja in usposabljanja, </w:t>
      </w:r>
      <w:r w:rsidRPr="009C4FEB">
        <w:rPr>
          <w:rFonts w:cs="Arial"/>
          <w:color w:val="000000"/>
          <w:szCs w:val="20"/>
        </w:rPr>
        <w:t>in sicer:</w:t>
      </w:r>
    </w:p>
    <w:p w14:paraId="3711894E" w14:textId="62949F72" w:rsidR="00313C2B" w:rsidRPr="009C4FEB" w:rsidRDefault="00313C2B" w:rsidP="00313C2B">
      <w:pPr>
        <w:spacing w:after="0"/>
        <w:jc w:val="both"/>
        <w:rPr>
          <w:rFonts w:cs="Arial"/>
        </w:rPr>
      </w:pPr>
      <w:r w:rsidRPr="7D8747CA">
        <w:rPr>
          <w:rFonts w:cs="Arial"/>
        </w:rPr>
        <w:t xml:space="preserve">o digitalna preobrazba izobraževanja, ki vključuje digitalno strategijo šole, krepitev pedagoških digitalnih kompetenc ter širjenje njihovih skupnosti za izmenjavo in vrednotenje dobre prakse, vpeljavo novih predmetov temeljnih vsebin računalništva in informatike, ustvarjalno rabo tehnologij, razvoj in vzpostavitev novih pedagoških modelov z uporabo e-vsebin, </w:t>
      </w:r>
      <w:r w:rsidRPr="00094BD6">
        <w:rPr>
          <w:rFonts w:cs="Arial"/>
          <w:bCs/>
        </w:rPr>
        <w:t>krepitev znanj s področja kibernetske varnosti</w:t>
      </w:r>
      <w:r w:rsidR="00094BD6">
        <w:rPr>
          <w:rFonts w:cs="Arial"/>
          <w:bCs/>
        </w:rPr>
        <w:t xml:space="preserve"> (npr. </w:t>
      </w:r>
      <w:r w:rsidR="00094BD6" w:rsidRPr="7A07A84A">
        <w:rPr>
          <w:rFonts w:cs="Arial"/>
        </w:rPr>
        <w:t>Mreža šol za kibernetsko varnost</w:t>
      </w:r>
      <w:r w:rsidR="00094BD6">
        <w:rPr>
          <w:rFonts w:cs="Arial"/>
        </w:rPr>
        <w:t>)</w:t>
      </w:r>
      <w:r w:rsidR="3014A9CD" w:rsidRPr="35D067B2">
        <w:rPr>
          <w:rFonts w:cs="Arial"/>
          <w:b/>
          <w:bCs/>
        </w:rPr>
        <w:t xml:space="preserve"> </w:t>
      </w:r>
      <w:r w:rsidRPr="7D8747CA">
        <w:rPr>
          <w:rFonts w:cs="Arial"/>
        </w:rPr>
        <w:t>in UI v skladu z Akcijskim načrtom za digitalno izobraževanje EK. Ukrepi bodo komplementarni vsebinam NOO, ki so namenjene sistemskim spremembam razvoja digitalnih kompetenc in temeljnih vsebin računalništva in informatike, s poudarkom pri pouku.«</w:t>
      </w:r>
    </w:p>
    <w:p w14:paraId="36CD4104" w14:textId="77777777" w:rsidR="00313C2B" w:rsidRPr="009C4FEB" w:rsidRDefault="00313C2B" w:rsidP="00313C2B">
      <w:pPr>
        <w:spacing w:after="0"/>
        <w:jc w:val="both"/>
        <w:rPr>
          <w:rFonts w:cs="Arial"/>
          <w:szCs w:val="20"/>
        </w:rPr>
      </w:pPr>
    </w:p>
    <w:p w14:paraId="7A12C2DE" w14:textId="77E39D62" w:rsidR="00313C2B" w:rsidRDefault="00313C2B" w:rsidP="7A07A84A">
      <w:pPr>
        <w:spacing w:after="0"/>
        <w:jc w:val="both"/>
        <w:rPr>
          <w:rFonts w:cs="Arial"/>
        </w:rPr>
      </w:pPr>
      <w:r w:rsidRPr="7A07A84A">
        <w:rPr>
          <w:rFonts w:cs="Arial"/>
          <w:u w:val="single"/>
        </w:rPr>
        <w:t>Obrazložitev:</w:t>
      </w:r>
      <w:r w:rsidRPr="7A07A84A">
        <w:rPr>
          <w:rFonts w:cs="Arial"/>
        </w:rPr>
        <w:t xml:space="preserve"> </w:t>
      </w:r>
      <w:r w:rsidR="26A62984" w:rsidRPr="7A07A84A">
        <w:rPr>
          <w:rFonts w:cs="Arial"/>
        </w:rPr>
        <w:t>Znotraj krepitve znanj s področja kibernetske varnosti</w:t>
      </w:r>
      <w:r w:rsidR="262954B1" w:rsidRPr="7A07A84A">
        <w:rPr>
          <w:rFonts w:cs="Arial"/>
        </w:rPr>
        <w:t>,</w:t>
      </w:r>
      <w:r w:rsidR="26A62984" w:rsidRPr="7A07A84A">
        <w:rPr>
          <w:rFonts w:cs="Arial"/>
        </w:rPr>
        <w:t xml:space="preserve"> Ministrstvo za digitalno pre</w:t>
      </w:r>
      <w:r w:rsidR="3BECC2A6" w:rsidRPr="7A07A84A">
        <w:rPr>
          <w:rFonts w:cs="Arial"/>
        </w:rPr>
        <w:t>obrazbo</w:t>
      </w:r>
      <w:r w:rsidR="65E202B0" w:rsidRPr="7A07A84A">
        <w:rPr>
          <w:rFonts w:cs="Arial"/>
        </w:rPr>
        <w:t xml:space="preserve"> prepoznava ukrep</w:t>
      </w:r>
      <w:r w:rsidR="3BECC2A6" w:rsidRPr="7A07A84A">
        <w:rPr>
          <w:rFonts w:cs="Arial"/>
        </w:rPr>
        <w:t xml:space="preserve"> </w:t>
      </w:r>
      <w:r w:rsidR="002B5387" w:rsidRPr="7A07A84A">
        <w:rPr>
          <w:rFonts w:cs="Arial"/>
        </w:rPr>
        <w:t>Mreža šol za kibernetsko varnost</w:t>
      </w:r>
      <w:r w:rsidR="6E7C27B1" w:rsidRPr="7A07A84A">
        <w:rPr>
          <w:rFonts w:cs="Arial"/>
        </w:rPr>
        <w:t>, ki</w:t>
      </w:r>
      <w:r w:rsidR="002B5387" w:rsidRPr="7A07A84A">
        <w:rPr>
          <w:rFonts w:cs="Arial"/>
        </w:rPr>
        <w:t xml:space="preserve"> bo zagotavljala izobraževanja in usposabljanja mladih (primarno srednješolcev, nato tudi osnovnošolcev zadnje triade) o kibernetski varnosti. Mreža </w:t>
      </w:r>
      <w:r w:rsidR="002B5387" w:rsidRPr="7A07A84A">
        <w:rPr>
          <w:rFonts w:cs="Arial"/>
        </w:rPr>
        <w:lastRenderedPageBreak/>
        <w:t xml:space="preserve">šol bo okolje v katerega bodo vključene izobraževalne ustanove (srednje šole, kasneje tudi osnovne šole in fakultete) ter gospodarstvo. Vključenim šolam bo zagotovljena potrebna oprema za izvajanje izobraževanj, učitelji oziroma inštruktorji pa bodo deležni brezplačnega izobraževanja in treninga, ki ga bo v sodelovanju z izbranimi izvajalci zagotovil Urad Vlade RS za informacijsko varnost. Za promocijo področja bo mreža šol organizirala šolsko in nacionalno tekmovanje iz kibernetske varnosti. Z ukrepom se bo zagotovil celovit razvoj strokovnjakov skozi vse faze izobraževanja. Vplival bo na povečanje števila mladih, ki se bodo odločili za študij kibernetske varnosti ali začeli svojo poklicno pot v tem sektorju. Prav tako bo vplival na digitalni cilj kompetence, kot na cilj % zaposlenih strokovnjakov za IKT. </w:t>
      </w:r>
    </w:p>
    <w:p w14:paraId="7809C34B" w14:textId="77777777" w:rsidR="00674726" w:rsidRPr="009C4FEB" w:rsidRDefault="00674726" w:rsidP="7A07A84A">
      <w:pPr>
        <w:spacing w:after="0"/>
        <w:jc w:val="both"/>
        <w:rPr>
          <w:rFonts w:cs="Arial"/>
          <w:highlight w:val="yellow"/>
        </w:rPr>
      </w:pPr>
    </w:p>
    <w:p w14:paraId="7372DF33" w14:textId="77777777" w:rsidR="008F6854" w:rsidRDefault="008F6854" w:rsidP="008F6854">
      <w:pPr>
        <w:numPr>
          <w:ilvl w:val="0"/>
          <w:numId w:val="28"/>
        </w:numPr>
        <w:spacing w:after="0"/>
        <w:contextualSpacing/>
        <w:jc w:val="both"/>
        <w:rPr>
          <w:rFonts w:cs="Arial"/>
          <w:b/>
          <w:bCs/>
          <w:szCs w:val="20"/>
          <w:u w:val="single"/>
        </w:rPr>
      </w:pPr>
      <w:r w:rsidRPr="008F6854">
        <w:rPr>
          <w:rFonts w:cs="Arial"/>
          <w:b/>
          <w:bCs/>
          <w:szCs w:val="20"/>
          <w:u w:val="single"/>
        </w:rPr>
        <w:t>Sprememba opisa ukrepa</w:t>
      </w:r>
    </w:p>
    <w:p w14:paraId="0F8389AA" w14:textId="77777777" w:rsidR="00C76CE4" w:rsidRDefault="00C76CE4" w:rsidP="00C76CE4">
      <w:pPr>
        <w:spacing w:after="0"/>
        <w:ind w:left="360"/>
        <w:contextualSpacing/>
        <w:jc w:val="both"/>
        <w:rPr>
          <w:rFonts w:cs="Arial"/>
          <w:b/>
          <w:bCs/>
          <w:szCs w:val="20"/>
          <w:u w:val="single"/>
        </w:rPr>
      </w:pPr>
    </w:p>
    <w:p w14:paraId="00E5E4E4" w14:textId="77777777" w:rsidR="002B5387" w:rsidRDefault="002B5387" w:rsidP="002B5387">
      <w:pPr>
        <w:spacing w:after="0"/>
        <w:jc w:val="both"/>
        <w:rPr>
          <w:rFonts w:cs="Arial"/>
          <w:szCs w:val="20"/>
        </w:rPr>
      </w:pPr>
      <w:r>
        <w:rPr>
          <w:rFonts w:cs="Arial"/>
          <w:szCs w:val="20"/>
        </w:rPr>
        <w:t xml:space="preserve">V skladu z načrtovanimi aktivnostmi posredniškega telesa Ministrstva za vzgojo in izobraževanje, se obstoječi ukrep </w:t>
      </w:r>
      <w:r w:rsidRPr="00F87454">
        <w:rPr>
          <w:rFonts w:cs="Arial"/>
          <w:i/>
          <w:iCs/>
          <w:szCs w:val="20"/>
        </w:rPr>
        <w:t xml:space="preserve">nadgradnja sistema profesionalnega in kariernega razvoja strokovnih in vodstvenih delavcev v vzgoji in izobraževanju </w:t>
      </w:r>
      <w:r>
        <w:rPr>
          <w:rFonts w:cs="Arial"/>
          <w:szCs w:val="20"/>
        </w:rPr>
        <w:t>dopolni z opisom »</w:t>
      </w:r>
      <w:r w:rsidRPr="00F87454">
        <w:rPr>
          <w:rFonts w:cs="Arial"/>
          <w:szCs w:val="20"/>
        </w:rPr>
        <w:t>Zagotovljena bodo tudi usposabljanja za postopno uvajanje ključnih programskih dokumentov (</w:t>
      </w:r>
      <w:proofErr w:type="spellStart"/>
      <w:r w:rsidRPr="00F87454">
        <w:rPr>
          <w:rFonts w:cs="Arial"/>
          <w:szCs w:val="20"/>
        </w:rPr>
        <w:t>kurikula</w:t>
      </w:r>
      <w:proofErr w:type="spellEnd"/>
      <w:r w:rsidRPr="00F87454">
        <w:rPr>
          <w:rFonts w:cs="Arial"/>
          <w:szCs w:val="20"/>
        </w:rPr>
        <w:t xml:space="preserve"> za vrtce, učnih načrtov ter katalogov znanj) prenovljenih izobraževalnih programov v okviru NOO, ki ne bodo implementirana v NOO, s čimer se bo strokovne in vodstvene delavce v vzgoji in izobraževanju opremilo s kompetencami, pomembnimi za soočanje z aktualnimi izzivi in izzivi prihodnosti (tudi digitalnimi kompetencami, kompetencami za trajnostni razvoj ter finančno pismenostjo).</w:t>
      </w:r>
      <w:r>
        <w:rPr>
          <w:rFonts w:cs="Arial"/>
          <w:szCs w:val="20"/>
        </w:rPr>
        <w:t>«</w:t>
      </w:r>
    </w:p>
    <w:p w14:paraId="0E8ABA1A" w14:textId="77777777" w:rsidR="002B5387" w:rsidRDefault="002B5387" w:rsidP="002B5387">
      <w:pPr>
        <w:spacing w:after="0"/>
        <w:jc w:val="both"/>
        <w:rPr>
          <w:rFonts w:cs="Arial"/>
          <w:szCs w:val="20"/>
        </w:rPr>
      </w:pPr>
      <w:r>
        <w:rPr>
          <w:rFonts w:cs="Arial"/>
          <w:szCs w:val="20"/>
        </w:rPr>
        <w:t xml:space="preserve">Po spremembi se ukrep na področju </w:t>
      </w:r>
      <w:r w:rsidRPr="00792E1D">
        <w:rPr>
          <w:rFonts w:cs="Arial"/>
          <w:i/>
          <w:iCs/>
          <w:szCs w:val="20"/>
        </w:rPr>
        <w:t>izboljšanje kakovosti in učinkovitosti izobraževanja in usposabljanja</w:t>
      </w:r>
      <w:r>
        <w:rPr>
          <w:rFonts w:cs="Arial"/>
          <w:szCs w:val="20"/>
        </w:rPr>
        <w:t>, glasi:</w:t>
      </w:r>
    </w:p>
    <w:p w14:paraId="7B121E8E" w14:textId="77777777" w:rsidR="002B5387" w:rsidRPr="008F6854" w:rsidRDefault="002B5387" w:rsidP="002B5387">
      <w:pPr>
        <w:numPr>
          <w:ilvl w:val="0"/>
          <w:numId w:val="9"/>
        </w:numPr>
        <w:spacing w:after="0"/>
        <w:contextualSpacing/>
        <w:jc w:val="both"/>
        <w:rPr>
          <w:rFonts w:cs="Arial"/>
          <w:szCs w:val="20"/>
        </w:rPr>
      </w:pPr>
      <w:r>
        <w:rPr>
          <w:rFonts w:cs="Arial"/>
          <w:szCs w:val="20"/>
        </w:rPr>
        <w:t>»</w:t>
      </w:r>
      <w:r w:rsidRPr="008F6854">
        <w:rPr>
          <w:rFonts w:cs="Arial"/>
          <w:szCs w:val="20"/>
        </w:rPr>
        <w:t>nadgrajen bo sistem profesionalnega in kariernega razvoja strokovnih in vodstvenih delavcev v vzgoji in izobraževanju:</w:t>
      </w:r>
      <w:r w:rsidRPr="008F6854">
        <w:t xml:space="preserve"> </w:t>
      </w:r>
      <w:r w:rsidRPr="008F6854">
        <w:rPr>
          <w:rFonts w:cs="Arial"/>
          <w:szCs w:val="20"/>
        </w:rPr>
        <w:t xml:space="preserve">začetno in nadaljnje izobraževanje, mentorstvo, uvajanje v poklic in delo, načrtovanje in vodenje karierne poti, napredovanje ter podpora ravnateljem. Za krepitev ugleda tega poklica ter soustvarjanja učeče se skupnosti bodo izvedene promocijske aktivnosti, vzpostavljena bo podpora za digitalizacijo postopkov, vezanih na karierno pot. Posodobljena in izvedena bodo tudi usposabljanja. Strokovne in vodstvene delavce se bo usposobilo za </w:t>
      </w:r>
      <w:r w:rsidRPr="006059E7">
        <w:rPr>
          <w:rFonts w:cs="Arial"/>
          <w:szCs w:val="20"/>
        </w:rPr>
        <w:t>posredovanje znanja s sodobnimi metodami/pristopi, s poudarkom na izkustvenem učenju, kompetencah, ki jih je treba razvijati pri udeležencih izobraževanja (npr. ustvarjalnost, reševanje problemskih nalog, odgovorno državljanstvo, trajnostni razvoj, sodelovanje, itd.) in povezovanju z lokalnim okoljem. Zagotovljena bodo tudi usposabljanja za postopno uvajanje ključnih programskih dokumentov (</w:t>
      </w:r>
      <w:proofErr w:type="spellStart"/>
      <w:r w:rsidRPr="006059E7">
        <w:rPr>
          <w:rFonts w:cs="Arial"/>
          <w:szCs w:val="20"/>
        </w:rPr>
        <w:t>kurikula</w:t>
      </w:r>
      <w:proofErr w:type="spellEnd"/>
      <w:r w:rsidRPr="006059E7">
        <w:rPr>
          <w:rFonts w:cs="Arial"/>
          <w:szCs w:val="20"/>
        </w:rPr>
        <w:t xml:space="preserve"> za vrtce, učnih načrtov ter katalogov znanj) prenovljenih izobraževalnih programov v okviru NOO, ki ne bodo implementirana v NOO, s čimer se bo strokovne in vodstvene delavce v vzgoji in izobraževanju opremilo s kompetencami, pomembnimi za soočanje z aktualnimi izzivi in izzivi prihodnosti (tudi digitalnimi kompetencami, kompetencami za trajnostni razvoj ter finančno pismenostjo). Opolnomočilo se jih bo tudi za delo z otroki s posebnimi potrebami, z razvojem alternativnih poti (na podlagi izkušenj iz obdobja 2014-2020) in za zagotavljanje varnega in spodbudnega učnega okolja (preprečevanje in soočanje z nasiljem, medkulturno sobivanje, zdrav in ustvarjalen način življenja, preprečevanje odvisnosti ipd.). Pri tem bomo upoštevali rezultate iz preteklih projektov, npr. upoštevani bodo razviti koncepti ter izkušnje s področja uvajanja v poklic (Učim se biti učitelj, Prva zaposlitev</w:t>
      </w:r>
      <w:r w:rsidRPr="008F6854">
        <w:rPr>
          <w:rFonts w:cs="Arial"/>
          <w:szCs w:val="20"/>
        </w:rPr>
        <w:t>), kakovosti (standardi kakovosti profesionalnega učenja in delovanja strokovnih delavcev ter vodenja vrtcev in šol) ter podpore ravnateljem (Vodenje in upravljanje inovativnih učnih okolij). Na podlagi izkušenj izvajanja ciljno usmerjenih profesionalnih usposabljanj strokovnih delavcev v vzgoji in izobraževanju za neposredno delo s konkretnim šolajočim s posebnimi potrebami, se bo v obdobju 2021–2027 uporabil koncept tudi na drugih vsebinskih področjih. VIZ želimo tako podpreti pri odzivanju na njihove aktualne potrebe, s tem pa vplivati na krepitev učeče se skupnosti, zagotavljanja varnega in spodbudnega učnega okolja za vsakega posameznika ter izboljšanje kakovosti in učinkovitosti sistema vzgoje in izobraževanja;«</w:t>
      </w:r>
    </w:p>
    <w:p w14:paraId="012B3240" w14:textId="77777777" w:rsidR="002B5387" w:rsidRPr="008F6854" w:rsidRDefault="002B5387" w:rsidP="002B5387">
      <w:pPr>
        <w:spacing w:after="0"/>
        <w:jc w:val="both"/>
        <w:rPr>
          <w:rFonts w:cs="Arial"/>
          <w:szCs w:val="20"/>
        </w:rPr>
      </w:pPr>
    </w:p>
    <w:p w14:paraId="71337878" w14:textId="55CBBD9A" w:rsidR="002B5387" w:rsidRPr="008F6854" w:rsidRDefault="002B5387" w:rsidP="002B5387">
      <w:pPr>
        <w:spacing w:after="0"/>
        <w:jc w:val="both"/>
        <w:rPr>
          <w:rFonts w:cs="Arial"/>
        </w:rPr>
      </w:pPr>
      <w:r w:rsidRPr="7A07A84A">
        <w:rPr>
          <w:rFonts w:cs="Arial"/>
          <w:u w:val="single"/>
        </w:rPr>
        <w:t>Obrazložitev</w:t>
      </w:r>
      <w:r w:rsidRPr="7A07A84A">
        <w:rPr>
          <w:rFonts w:cs="Arial"/>
        </w:rPr>
        <w:t>:</w:t>
      </w:r>
      <w:r>
        <w:t xml:space="preserve"> Dopolnitev </w:t>
      </w:r>
      <w:r w:rsidR="007F7A1A">
        <w:t xml:space="preserve">ukrepa </w:t>
      </w:r>
      <w:r>
        <w:t xml:space="preserve">se bo odrazila v </w:t>
      </w:r>
      <w:r w:rsidR="007F7A1A">
        <w:t xml:space="preserve">novi </w:t>
      </w:r>
      <w:r>
        <w:t xml:space="preserve">operaciji in sicer bo </w:t>
      </w:r>
      <w:r w:rsidR="12F7C933">
        <w:t xml:space="preserve">Ministrstvo za vzgojo in izobraževanje </w:t>
      </w:r>
      <w:r>
        <w:t xml:space="preserve">v sklopu ukrepa </w:t>
      </w:r>
      <w:r w:rsidR="4E45AACD">
        <w:t>izved</w:t>
      </w:r>
      <w:r w:rsidR="437A9F08">
        <w:t>el</w:t>
      </w:r>
      <w:r>
        <w:t xml:space="preserve"> NIO, ki ni bil načrtovan ob pripravi programa PEKP21</w:t>
      </w:r>
      <w:r w:rsidR="00406DEC">
        <w:t>–</w:t>
      </w:r>
      <w:r>
        <w:t xml:space="preserve">27. Cilj novega NIO je izvesti usposabljanja v sklopu programa kariernega razvoja za strokovne delavce v VIZ za doseganje ciljev novih učnih načrtov. Prenova učnih načrtov poteka v sklopu reforme A Prenova vzgojno-izobraževalnega sistema za zeleni in digitalni prehod v okviru Načrta za okrevanje in odpornost. Učni načrti bodo prenovljeni do 30. 6. 2026, zato bodo usposabljanja strokovnih delavcev, ki se bodo </w:t>
      </w:r>
      <w:r>
        <w:lastRenderedPageBreak/>
        <w:t xml:space="preserve">do 30. 6. 2026 izvedla v sklopu NOO le delno zaobjela potreben obseg aktivnosti na tem področju. Ostala potrebna usposabljanja s področja novih učnih načrtov </w:t>
      </w:r>
      <w:r w:rsidR="509E9F11">
        <w:t xml:space="preserve">se </w:t>
      </w:r>
      <w:r>
        <w:t xml:space="preserve">bo </w:t>
      </w:r>
      <w:r w:rsidR="4E45AACD">
        <w:t>izved</w:t>
      </w:r>
      <w:r w:rsidR="62FACA34">
        <w:t>e</w:t>
      </w:r>
      <w:r w:rsidR="4E45AACD">
        <w:t>l</w:t>
      </w:r>
      <w:r>
        <w:t xml:space="preserve"> v sklopu PEKP 2021</w:t>
      </w:r>
      <w:r w:rsidR="00406DEC">
        <w:t>–</w:t>
      </w:r>
      <w:r>
        <w:t>2027.</w:t>
      </w:r>
    </w:p>
    <w:p w14:paraId="5EA18EC7" w14:textId="77777777" w:rsidR="002B5387" w:rsidRDefault="002B5387" w:rsidP="002B5387">
      <w:pPr>
        <w:spacing w:after="0"/>
        <w:contextualSpacing/>
        <w:jc w:val="both"/>
        <w:rPr>
          <w:rFonts w:cs="Arial"/>
          <w:b/>
          <w:bCs/>
          <w:szCs w:val="20"/>
          <w:u w:val="single"/>
        </w:rPr>
      </w:pPr>
    </w:p>
    <w:p w14:paraId="70B7B35C" w14:textId="77777777" w:rsidR="008651F6" w:rsidRDefault="008651F6" w:rsidP="008651F6">
      <w:pPr>
        <w:pStyle w:val="Odstavekseznama"/>
        <w:numPr>
          <w:ilvl w:val="0"/>
          <w:numId w:val="28"/>
        </w:numPr>
        <w:spacing w:after="0"/>
        <w:jc w:val="both"/>
        <w:rPr>
          <w:rFonts w:cs="Arial"/>
          <w:b/>
          <w:bCs/>
          <w:szCs w:val="20"/>
          <w:u w:val="single"/>
        </w:rPr>
      </w:pPr>
      <w:r w:rsidRPr="008651F6">
        <w:rPr>
          <w:rFonts w:cs="Arial"/>
          <w:b/>
          <w:bCs/>
          <w:szCs w:val="20"/>
          <w:u w:val="single"/>
        </w:rPr>
        <w:t>Sprememba glavne ciljne skupine</w:t>
      </w:r>
    </w:p>
    <w:p w14:paraId="6DE297A7" w14:textId="77777777" w:rsidR="00C76CE4" w:rsidRPr="00C76CE4" w:rsidRDefault="00C76CE4" w:rsidP="00C76CE4">
      <w:pPr>
        <w:spacing w:after="0"/>
        <w:ind w:left="360"/>
        <w:jc w:val="both"/>
        <w:rPr>
          <w:rFonts w:cs="Arial"/>
          <w:b/>
          <w:bCs/>
          <w:szCs w:val="20"/>
          <w:u w:val="single"/>
        </w:rPr>
      </w:pPr>
    </w:p>
    <w:p w14:paraId="5268D738" w14:textId="77777777" w:rsidR="008651F6" w:rsidRPr="008651F6" w:rsidRDefault="008651F6" w:rsidP="009469ED">
      <w:pPr>
        <w:spacing w:after="0"/>
        <w:jc w:val="both"/>
        <w:rPr>
          <w:rFonts w:cs="Arial"/>
          <w:szCs w:val="20"/>
        </w:rPr>
      </w:pPr>
      <w:r w:rsidRPr="008651F6">
        <w:rPr>
          <w:rFonts w:cs="Arial"/>
          <w:szCs w:val="20"/>
        </w:rPr>
        <w:t>V razdelku dodana ciljna skupina »starši učečih se, strokovna in splošna javnost«, saj tako ustrezneje naslovimo vse aktivnosti na načrtovanih ukrepih MVI na tem specifičnem cilju.</w:t>
      </w:r>
    </w:p>
    <w:p w14:paraId="698C37A0" w14:textId="50664B00" w:rsidR="008651F6" w:rsidRPr="008651F6" w:rsidRDefault="008651F6" w:rsidP="009469ED">
      <w:pPr>
        <w:spacing w:after="0"/>
        <w:jc w:val="both"/>
        <w:rPr>
          <w:rFonts w:cs="Arial"/>
          <w:szCs w:val="20"/>
        </w:rPr>
      </w:pPr>
    </w:p>
    <w:p w14:paraId="6489E056" w14:textId="2FB57881" w:rsidR="00313C2B" w:rsidRPr="00674726" w:rsidRDefault="00313C2B" w:rsidP="00674726">
      <w:pPr>
        <w:pStyle w:val="Naslov3"/>
        <w:numPr>
          <w:ilvl w:val="2"/>
          <w:numId w:val="2"/>
        </w:numPr>
        <w:rPr>
          <w:color w:val="4472C4" w:themeColor="accent1"/>
        </w:rPr>
      </w:pPr>
      <w:bookmarkStart w:id="196" w:name="_Toc191383877"/>
      <w:r w:rsidRPr="00674726">
        <w:rPr>
          <w:color w:val="4472C4" w:themeColor="accent1"/>
        </w:rPr>
        <w:t>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 (ESS+)</w:t>
      </w:r>
      <w:bookmarkEnd w:id="196"/>
    </w:p>
    <w:p w14:paraId="187034D6" w14:textId="77777777" w:rsidR="00313C2B" w:rsidRPr="009C4FEB" w:rsidRDefault="00313C2B" w:rsidP="00313C2B">
      <w:pPr>
        <w:spacing w:after="0"/>
        <w:jc w:val="both"/>
        <w:rPr>
          <w:rFonts w:cs="Arial"/>
          <w:szCs w:val="20"/>
        </w:rPr>
      </w:pPr>
    </w:p>
    <w:p w14:paraId="23A7B74E" w14:textId="77777777" w:rsidR="00313C2B" w:rsidRDefault="00313C2B" w:rsidP="00313C2B">
      <w:pPr>
        <w:numPr>
          <w:ilvl w:val="0"/>
          <w:numId w:val="29"/>
        </w:numPr>
        <w:spacing w:after="0"/>
        <w:contextualSpacing/>
        <w:jc w:val="both"/>
        <w:rPr>
          <w:rFonts w:cs="Arial"/>
          <w:b/>
          <w:bCs/>
          <w:szCs w:val="20"/>
          <w:u w:val="single"/>
        </w:rPr>
      </w:pPr>
      <w:r w:rsidRPr="00076FA4">
        <w:rPr>
          <w:rFonts w:cs="Arial"/>
          <w:b/>
          <w:bCs/>
          <w:szCs w:val="20"/>
          <w:u w:val="single"/>
        </w:rPr>
        <w:t>Sprememba opisa ukrepov</w:t>
      </w:r>
    </w:p>
    <w:p w14:paraId="7B866A4F" w14:textId="77777777" w:rsidR="00C76CE4" w:rsidRPr="00076FA4" w:rsidRDefault="00C76CE4" w:rsidP="00C76CE4">
      <w:pPr>
        <w:spacing w:after="0"/>
        <w:contextualSpacing/>
        <w:jc w:val="both"/>
        <w:rPr>
          <w:rFonts w:cs="Arial"/>
          <w:b/>
          <w:bCs/>
          <w:szCs w:val="20"/>
          <w:u w:val="single"/>
        </w:rPr>
      </w:pPr>
    </w:p>
    <w:p w14:paraId="743002B3" w14:textId="499C05CB" w:rsidR="00313C2B" w:rsidRPr="009C4FEB" w:rsidRDefault="00313C2B" w:rsidP="00313C2B">
      <w:pPr>
        <w:spacing w:after="0"/>
        <w:jc w:val="both"/>
        <w:rPr>
          <w:rFonts w:cs="Arial"/>
        </w:rPr>
      </w:pPr>
      <w:r w:rsidRPr="286196E7">
        <w:rPr>
          <w:rFonts w:cs="Arial"/>
        </w:rPr>
        <w:t xml:space="preserve">Ukrep izvajanje </w:t>
      </w:r>
      <w:r w:rsidRPr="00094BD6">
        <w:rPr>
          <w:rFonts w:cs="Arial"/>
          <w:i/>
        </w:rPr>
        <w:t>podpornih aktivnosti za izvajanje VŽU</w:t>
      </w:r>
      <w:r w:rsidRPr="286196E7">
        <w:rPr>
          <w:rFonts w:cs="Arial"/>
        </w:rPr>
        <w:t xml:space="preserve"> »izvedena bo vseslovenska kampanja, še zlasti pa za odrasle iz različnih ranljivih skupin (starejši, migranti, zaporniki, manj izobraženi oziroma s pomanjkanjem kompetenc, brezposelni in podobno). Posameznike bomo ozaveščali o pomenu udeležbe v VŽU za vstop oz. konkurenčnost na trgu dela, osebni razvoj in sodelovanje v skupnosti. Namen ukrepov je: okrepiti pozitiven odnos do VŽU, ki prinaša napredek na osebnem, družbenem in delovnem področju; povečati vključenost v različne oblike VŽU za pridobitev višje ali nove izobrazbe ter temeljnih in poklicnih kompetenc, izboljšanje splošne razgledanosti, povezovanje in vzpostavljanje učeče se skupnosti. Razvijali bomo sodobne pristope in orodja za kakovostno in učinkovito izvajanje promocijskih, animacijskih in informativnih aktivnosti ter učne pomoči. Krepili bomo medresorsko povezovanje in vključevali različne deležnike na trgu dela, socialne partnerje in nevladne organizacije na državni in lokalni ravni. Z namenom doseganja večje sinergije pri izvajanju aktivnosti je predvideno sodelovanje različnih ministrstev, ki aktivno delujejo na področju izobraževanja odraslih (MIZŠ, MGRT in MDDSZ). Z različnimi orodji (kot npr. individualni učni računi) bo omogočeno vsem odraslim, da razvijejo svoje spretnosti skozi celotno dobo zaposlitve;«</w:t>
      </w:r>
    </w:p>
    <w:p w14:paraId="70E48549" w14:textId="77777777" w:rsidR="00313C2B" w:rsidRPr="009C4FEB" w:rsidRDefault="00313C2B" w:rsidP="00313C2B">
      <w:pPr>
        <w:spacing w:after="0"/>
        <w:jc w:val="both"/>
        <w:rPr>
          <w:rFonts w:cs="Arial"/>
          <w:szCs w:val="20"/>
        </w:rPr>
      </w:pPr>
    </w:p>
    <w:p w14:paraId="09DA2FE4" w14:textId="77777777" w:rsidR="00313C2B" w:rsidRPr="009C4FEB" w:rsidRDefault="00313C2B" w:rsidP="00313C2B">
      <w:pPr>
        <w:spacing w:after="0"/>
        <w:jc w:val="both"/>
        <w:rPr>
          <w:rFonts w:cs="Arial"/>
          <w:szCs w:val="20"/>
        </w:rPr>
      </w:pPr>
      <w:r w:rsidRPr="007E721F">
        <w:rPr>
          <w:rFonts w:cs="Arial"/>
          <w:szCs w:val="20"/>
        </w:rPr>
        <w:t>se spremeni v</w:t>
      </w:r>
      <w:r w:rsidRPr="009C4FEB">
        <w:rPr>
          <w:rFonts w:cs="Arial"/>
          <w:szCs w:val="20"/>
        </w:rPr>
        <w:t xml:space="preserve"> </w:t>
      </w:r>
    </w:p>
    <w:p w14:paraId="126C06BD" w14:textId="77777777" w:rsidR="00313C2B" w:rsidRPr="009C4FEB" w:rsidRDefault="00313C2B" w:rsidP="00313C2B">
      <w:pPr>
        <w:spacing w:after="0"/>
        <w:jc w:val="both"/>
        <w:rPr>
          <w:rFonts w:cs="Arial"/>
          <w:color w:val="000000"/>
          <w:szCs w:val="20"/>
        </w:rPr>
      </w:pPr>
    </w:p>
    <w:p w14:paraId="554B2A05" w14:textId="28840DC7" w:rsidR="00313C2B" w:rsidRPr="009C4FEB" w:rsidRDefault="00313C2B" w:rsidP="00313C2B">
      <w:pPr>
        <w:spacing w:after="0"/>
        <w:jc w:val="both"/>
        <w:rPr>
          <w:rFonts w:cs="Arial"/>
        </w:rPr>
      </w:pPr>
      <w:r w:rsidRPr="180E6078">
        <w:rPr>
          <w:rFonts w:cs="Arial"/>
          <w:color w:val="000000" w:themeColor="text1"/>
        </w:rPr>
        <w:t xml:space="preserve">»izvedena bo vseslovenska kampanja, še zlasti pa za odrasle iz različnih ranljivih skupin (starejši, migranti, zaporniki, manj izobraženi oziroma s pomanjkanjem kompetenc, brezposelni in podobno). Posameznike bomo ozaveščali o pomenu udeležbe v VŽU za vstop oz. konkurenčnost na trgu dela, osebni razvoj in sodelovanje v skupnosti. </w:t>
      </w:r>
      <w:r w:rsidRPr="7A07A84A">
        <w:rPr>
          <w:rFonts w:cs="Arial"/>
          <w:color w:val="000000" w:themeColor="text1"/>
        </w:rPr>
        <w:t>Namen ukrepov je: okrepiti pozitiven odnos do VŽU, ki prinaša napredek na osebnem, družbenem in delovnem področju; povečati vključenost v različne oblike VŽU za pridobitev višje ali nove izobrazbe ter temeljnih in poklicnih kompetenc, izboljšanje splošne razgledanosti, povezovanje in vzpostavljanje učeče se skupnosti. Razvijali bomo sodobne pristope in orodja za kakovostno in učinkovito izvajanje promocijskih, animacijskih in informativnih aktivnosti ter učne pomoči. Krepili bomo medresorsko povezovanje in vključevali različne deležnike na trgu dela, socialne partnerje in nevladne organizacije na državni in lokalni ravni. Z namenom doseganja večje sinergije pri izvajanju aktivnosti je predvideno sodelovanje različnih ministrstev, ki aktivno delujejo na področju izobraževanja odraslih (MVI, MGRT, MDP in MDDSZ). Z različnimi orodji (kot npr.</w:t>
      </w:r>
      <w:r w:rsidR="00B219B8" w:rsidRPr="7A07A84A">
        <w:rPr>
          <w:rFonts w:cs="Arial"/>
          <w:color w:val="000000" w:themeColor="text1"/>
        </w:rPr>
        <w:t xml:space="preserve"> </w:t>
      </w:r>
      <w:r w:rsidR="738E3832" w:rsidRPr="7A07A84A">
        <w:rPr>
          <w:rFonts w:cs="Arial"/>
          <w:color w:val="000000" w:themeColor="text1"/>
        </w:rPr>
        <w:t>i</w:t>
      </w:r>
      <w:r w:rsidR="35331F51" w:rsidRPr="7A07A84A">
        <w:rPr>
          <w:rFonts w:cs="Arial"/>
          <w:color w:val="000000" w:themeColor="text1"/>
        </w:rPr>
        <w:t>ndividualni učni račun</w:t>
      </w:r>
      <w:r w:rsidR="0F4993C7" w:rsidRPr="7A07A84A">
        <w:rPr>
          <w:rFonts w:cs="Arial"/>
          <w:color w:val="000000" w:themeColor="text1"/>
        </w:rPr>
        <w:t>i</w:t>
      </w:r>
      <w:r w:rsidRPr="7A07A84A">
        <w:rPr>
          <w:rFonts w:cs="Arial"/>
          <w:color w:val="000000" w:themeColor="text1"/>
        </w:rPr>
        <w:t>) bo omogočeno vsem odraslim, da razvijejo svoje spretnosti skozi celotno dobo zaposlitve;«</w:t>
      </w:r>
    </w:p>
    <w:p w14:paraId="3F97E5D9" w14:textId="77777777" w:rsidR="00313C2B" w:rsidRPr="009C4FEB" w:rsidRDefault="00313C2B" w:rsidP="00313C2B">
      <w:pPr>
        <w:spacing w:after="0"/>
        <w:jc w:val="both"/>
        <w:rPr>
          <w:rFonts w:cs="Arial"/>
          <w:szCs w:val="20"/>
        </w:rPr>
      </w:pPr>
    </w:p>
    <w:p w14:paraId="41597C1D" w14:textId="77777777" w:rsidR="00313C2B" w:rsidRDefault="00313C2B" w:rsidP="00313C2B">
      <w:pPr>
        <w:spacing w:after="0"/>
        <w:jc w:val="both"/>
        <w:rPr>
          <w:rFonts w:cs="Arial"/>
          <w:szCs w:val="20"/>
        </w:rPr>
      </w:pPr>
      <w:r w:rsidRPr="009C4FEB">
        <w:rPr>
          <w:rFonts w:cs="Arial"/>
          <w:szCs w:val="20"/>
          <w:u w:val="single"/>
        </w:rPr>
        <w:t>Obrazložitev:</w:t>
      </w:r>
      <w:r w:rsidRPr="009C4FEB">
        <w:rPr>
          <w:rFonts w:cs="Arial"/>
          <w:szCs w:val="20"/>
        </w:rPr>
        <w:t xml:space="preserve"> K ukrepu </w:t>
      </w:r>
      <w:r w:rsidRPr="009C4FEB">
        <w:rPr>
          <w:rFonts w:cs="Arial"/>
          <w:i/>
          <w:iCs/>
          <w:szCs w:val="20"/>
        </w:rPr>
        <w:t>izvajanje podpornih aktivnosti za izvajanje VŽU</w:t>
      </w:r>
      <w:r w:rsidRPr="009C4FEB">
        <w:rPr>
          <w:rFonts w:cs="Arial"/>
          <w:szCs w:val="20"/>
        </w:rPr>
        <w:t xml:space="preserve">, se vključi sodelovanje novega ministrstva, Ministrstva za digitalno preobrazbo. Vključi se ga z izvedbo projektov vsebinskih mrež na področju digitalnih kompetenc. Ukrep bo omogočil izvedbo projektov vsebinskih mrež nevladnih organizacij za dejavnosti informiranja, svetovanja, izobraževanja, raziskovanja, zagovorništva mreženja, promocije in podpore v korist vseh nevladnih organizacij na področju uporabe in razvoja digitalnih tehnologij in digitalnih kompetenc. Povezava do digitalnega cilja: Prek izvedbe ukrepa bodo pripravljene analize stanja digitalne vključenosti, ki bodo izhodišče za ciljno </w:t>
      </w:r>
      <w:proofErr w:type="spellStart"/>
      <w:r w:rsidRPr="009C4FEB">
        <w:rPr>
          <w:rFonts w:cs="Arial"/>
          <w:szCs w:val="20"/>
        </w:rPr>
        <w:t>targetirano</w:t>
      </w:r>
      <w:proofErr w:type="spellEnd"/>
      <w:r w:rsidRPr="009C4FEB">
        <w:rPr>
          <w:rFonts w:cs="Arial"/>
          <w:szCs w:val="20"/>
        </w:rPr>
        <w:t xml:space="preserve"> pripravo ostalih </w:t>
      </w:r>
      <w:r w:rsidRPr="009C4FEB">
        <w:rPr>
          <w:rFonts w:cs="Arial"/>
          <w:szCs w:val="20"/>
        </w:rPr>
        <w:lastRenderedPageBreak/>
        <w:t>ukrepov s področja digitalne vključenosti, obenem pa bodo izvedene številne dejavnosti ozaveščanja oz. promocije digitalne vključenosti in priložnosti za usposabljanja do končnih uporabnikov.</w:t>
      </w:r>
    </w:p>
    <w:p w14:paraId="0A0C5958" w14:textId="77777777" w:rsidR="008651F6" w:rsidRPr="009469ED" w:rsidRDefault="008651F6" w:rsidP="00313C2B">
      <w:pPr>
        <w:spacing w:after="0"/>
        <w:jc w:val="both"/>
        <w:rPr>
          <w:rFonts w:cs="Arial"/>
          <w:b/>
          <w:bCs/>
          <w:szCs w:val="20"/>
          <w:u w:val="single"/>
        </w:rPr>
      </w:pPr>
    </w:p>
    <w:p w14:paraId="3069017B" w14:textId="77777777" w:rsidR="00A54268" w:rsidRDefault="00A54268" w:rsidP="180E6078">
      <w:pPr>
        <w:pStyle w:val="Odstavekseznama"/>
        <w:numPr>
          <w:ilvl w:val="0"/>
          <w:numId w:val="29"/>
        </w:numPr>
        <w:spacing w:after="0"/>
        <w:rPr>
          <w:rFonts w:cs="Arial"/>
          <w:b/>
          <w:u w:val="single"/>
        </w:rPr>
      </w:pPr>
      <w:r w:rsidRPr="1A931425">
        <w:rPr>
          <w:rFonts w:cs="Arial"/>
          <w:b/>
          <w:u w:val="single"/>
        </w:rPr>
        <w:t>Sprememba opisa ukrepov</w:t>
      </w:r>
    </w:p>
    <w:p w14:paraId="57B660AC" w14:textId="77777777" w:rsidR="00C76CE4" w:rsidRPr="00C76CE4" w:rsidRDefault="00C76CE4" w:rsidP="00C76CE4">
      <w:pPr>
        <w:spacing w:after="0"/>
        <w:rPr>
          <w:rFonts w:cs="Arial"/>
          <w:b/>
          <w:u w:val="single"/>
        </w:rPr>
      </w:pPr>
    </w:p>
    <w:p w14:paraId="107B2AD4" w14:textId="41B60974" w:rsidR="0D8638B2" w:rsidRDefault="0D8638B2" w:rsidP="3F3C0871">
      <w:pPr>
        <w:spacing w:after="0"/>
        <w:jc w:val="both"/>
        <w:rPr>
          <w:rFonts w:cs="Arial"/>
        </w:rPr>
      </w:pPr>
      <w:r w:rsidRPr="180E6078">
        <w:rPr>
          <w:rFonts w:cs="Arial"/>
        </w:rPr>
        <w:t>V sklopu uk</w:t>
      </w:r>
      <w:r w:rsidR="029958C3" w:rsidRPr="180E6078">
        <w:rPr>
          <w:rFonts w:cs="Arial"/>
        </w:rPr>
        <w:t xml:space="preserve">repov </w:t>
      </w:r>
      <w:r w:rsidR="029958C3" w:rsidRPr="180E6078">
        <w:rPr>
          <w:rFonts w:cs="Arial"/>
          <w:i/>
          <w:iCs/>
        </w:rPr>
        <w:t>za pridobitev srednješolske izobrazbe in novega poklica za različne ravni, kvalifikacije in prekvalifikacije, poklicnega izpopolnjevanja in usposabljanja, pridobivanja in zviševanj</w:t>
      </w:r>
      <w:r w:rsidR="08588EB8" w:rsidRPr="180E6078">
        <w:rPr>
          <w:rFonts w:cs="Arial"/>
          <w:i/>
          <w:iCs/>
        </w:rPr>
        <w:t>a</w:t>
      </w:r>
      <w:r w:rsidR="029958C3" w:rsidRPr="180E6078">
        <w:rPr>
          <w:rFonts w:cs="Arial"/>
          <w:i/>
          <w:iCs/>
        </w:rPr>
        <w:t xml:space="preserve"> ravni pismenosti in temeljnih zmožnosti ter izboljšanje splošne izobraženosti vključno z digitalnimi in drugimi ključnimi kompetencami za VŽU</w:t>
      </w:r>
      <w:r w:rsidR="2E56C887" w:rsidRPr="180E6078">
        <w:rPr>
          <w:rFonts w:cs="Arial"/>
        </w:rPr>
        <w:t xml:space="preserve">, se </w:t>
      </w:r>
      <w:r w:rsidR="2134D9DD" w:rsidRPr="180E6078">
        <w:rPr>
          <w:rFonts w:cs="Arial"/>
        </w:rPr>
        <w:t xml:space="preserve">dopolni ukrep za </w:t>
      </w:r>
      <w:r w:rsidR="0B3D37B7" w:rsidRPr="180E6078">
        <w:rPr>
          <w:rFonts w:cs="Arial"/>
        </w:rPr>
        <w:t>»razvijanje in izvajanje programov za različne ciljne skupine odraslih, ki zagotavljajo pridobivanje in zviševanje ravni pismenosti in temeljnih zmožnosti ter izboljšanje splošne izobraženosti</w:t>
      </w:r>
      <w:r w:rsidR="21BBB340" w:rsidRPr="180E6078">
        <w:rPr>
          <w:rFonts w:cs="Arial"/>
        </w:rPr>
        <w:t xml:space="preserve"> </w:t>
      </w:r>
      <w:r w:rsidR="0B3D37B7" w:rsidRPr="180E6078">
        <w:rPr>
          <w:rFonts w:cs="Arial"/>
        </w:rPr>
        <w:t>za zaposlitev ali učinkovitejše opravljanje dela, osebni razvoj, aktivno državljanstvo, zeleni prehod in socialno vključenost, s poudarkom na manj izobraženih, odraslih s pomanjkanjem spretnosti in starejših. Z ukrepom bomo prispevali k večji vključenosti odraslih v VŽU in izboljšali kompetence, ki jih posamezniki potrebujejo zaradi potreb na trgu dela. Ukrep bo omogočal fleksibilnost programov glede na presežno ponudbo dela (komplementarnost z NOO: zviševanje ravni pismenosti in temeljnih zmožnosti z izvajanjem usposabljanj po novih javnoveljavnih programih s področja finančne pismenosti).«</w:t>
      </w:r>
      <w:r w:rsidR="3D92FCD6" w:rsidRPr="180E6078">
        <w:rPr>
          <w:rFonts w:cs="Arial"/>
        </w:rPr>
        <w:t xml:space="preserve"> Ukrep se </w:t>
      </w:r>
    </w:p>
    <w:p w14:paraId="263446A6" w14:textId="77777777" w:rsidR="00094BD6" w:rsidRDefault="00094BD6" w:rsidP="00313C2B">
      <w:pPr>
        <w:spacing w:after="0"/>
        <w:jc w:val="both"/>
        <w:rPr>
          <w:rFonts w:cs="Arial"/>
        </w:rPr>
      </w:pPr>
    </w:p>
    <w:p w14:paraId="2CC53AD0" w14:textId="4C1A40C9" w:rsidR="00313C2B" w:rsidRPr="009C4FEB" w:rsidRDefault="00313C2B" w:rsidP="00313C2B">
      <w:pPr>
        <w:spacing w:after="0"/>
        <w:jc w:val="both"/>
        <w:rPr>
          <w:rFonts w:cs="Arial"/>
        </w:rPr>
      </w:pPr>
      <w:r w:rsidRPr="180E6078">
        <w:rPr>
          <w:rFonts w:cs="Arial"/>
        </w:rPr>
        <w:t>spremeni v</w:t>
      </w:r>
    </w:p>
    <w:p w14:paraId="256E10A9" w14:textId="77777777" w:rsidR="00313C2B" w:rsidRPr="009C4FEB" w:rsidRDefault="00313C2B" w:rsidP="00313C2B">
      <w:pPr>
        <w:spacing w:after="0"/>
        <w:jc w:val="both"/>
        <w:rPr>
          <w:rFonts w:cs="Arial"/>
          <w:szCs w:val="20"/>
        </w:rPr>
      </w:pPr>
    </w:p>
    <w:p w14:paraId="57B0CBF0" w14:textId="151C79DF" w:rsidR="007C435A" w:rsidRPr="009C4FEB" w:rsidRDefault="3039D9F9" w:rsidP="10040D48">
      <w:pPr>
        <w:spacing w:after="0"/>
        <w:jc w:val="both"/>
        <w:rPr>
          <w:rFonts w:cs="Arial"/>
        </w:rPr>
      </w:pPr>
      <w:r w:rsidRPr="3BD993EA">
        <w:rPr>
          <w:rFonts w:cs="Arial"/>
        </w:rPr>
        <w:t xml:space="preserve">»razvijanje in izvajanje programov za različne ciljne skupine odraslih, ki zagotavljajo pridobivanje in zviševanje ravni pismenosti in temeljnih zmožnosti ter izboljšanje splošne izobraženosti </w:t>
      </w:r>
      <w:r w:rsidR="7946DB36" w:rsidRPr="380B9257">
        <w:rPr>
          <w:rFonts w:cs="Arial"/>
        </w:rPr>
        <w:t>(vključno z digitalnimi kompetencami)</w:t>
      </w:r>
      <w:r w:rsidR="22ED7C20" w:rsidRPr="3BD993EA">
        <w:rPr>
          <w:rFonts w:cs="Arial"/>
        </w:rPr>
        <w:t xml:space="preserve"> </w:t>
      </w:r>
      <w:r w:rsidRPr="3BD993EA">
        <w:rPr>
          <w:rFonts w:cs="Arial"/>
        </w:rPr>
        <w:t>za zaposlitev</w:t>
      </w:r>
      <w:r w:rsidR="1482AC0C" w:rsidRPr="3BD993EA">
        <w:rPr>
          <w:rFonts w:cs="Arial"/>
        </w:rPr>
        <w:t>,</w:t>
      </w:r>
      <w:r w:rsidRPr="3BD993EA">
        <w:rPr>
          <w:rFonts w:cs="Arial"/>
        </w:rPr>
        <w:t xml:space="preserve"> ali učinkovitejše opravljanje dela, osebni razvoj, aktivno državljanstvo, zeleni prehod in socialno vključenost, s poudarkom na manj izobraženih, odraslih s pomanjkanjem spretnosti in starejših. Z ukrepom bomo prispevali k večji vključenosti odraslih v VŽU in izboljšali kompetence</w:t>
      </w:r>
      <w:r w:rsidR="2DF6292D" w:rsidRPr="3BD993EA">
        <w:rPr>
          <w:rFonts w:cs="Arial"/>
        </w:rPr>
        <w:t xml:space="preserve"> </w:t>
      </w:r>
      <w:r w:rsidR="2DF6292D" w:rsidRPr="380B9257">
        <w:rPr>
          <w:rFonts w:cs="Arial"/>
        </w:rPr>
        <w:t>(vključno z digitalnimi</w:t>
      </w:r>
      <w:r w:rsidR="767D7553" w:rsidRPr="380B9257">
        <w:rPr>
          <w:rFonts w:cs="Arial"/>
        </w:rPr>
        <w:t xml:space="preserve"> kompetencami</w:t>
      </w:r>
      <w:r w:rsidR="2DF6292D" w:rsidRPr="380B9257">
        <w:rPr>
          <w:rFonts w:cs="Arial"/>
        </w:rPr>
        <w:t>)</w:t>
      </w:r>
      <w:r w:rsidR="22ED7C20" w:rsidRPr="3BD993EA">
        <w:rPr>
          <w:rFonts w:cs="Arial"/>
        </w:rPr>
        <w:t>,</w:t>
      </w:r>
      <w:r w:rsidRPr="3BD993EA">
        <w:rPr>
          <w:rFonts w:cs="Arial"/>
        </w:rPr>
        <w:t xml:space="preserve"> ki jih posamezniki potrebujejo zaradi potreb na trgu dela. Ukrep bo omogočal fleksibilnost programov glede na presežno ponudbo dela (komplementarnost z NOO: zviševanje ravni pismenosti in temeljnih zmožnosti z izvajanjem usposabljanj po novih javnoveljavnih programih s področja finančne pismenosti</w:t>
      </w:r>
      <w:r w:rsidR="22ED7C20" w:rsidRPr="3BD993EA">
        <w:rPr>
          <w:rFonts w:cs="Arial"/>
        </w:rPr>
        <w:t>)</w:t>
      </w:r>
      <w:r w:rsidR="4315A4D3" w:rsidRPr="3BD993EA">
        <w:rPr>
          <w:rFonts w:cs="Arial"/>
        </w:rPr>
        <w:t>.</w:t>
      </w:r>
      <w:r w:rsidRPr="3BD993EA">
        <w:rPr>
          <w:rFonts w:cs="Arial"/>
        </w:rPr>
        <w:t>«</w:t>
      </w:r>
    </w:p>
    <w:p w14:paraId="34A3BD96" w14:textId="77777777" w:rsidR="00313C2B" w:rsidRPr="009C4FEB" w:rsidRDefault="00313C2B" w:rsidP="00313C2B">
      <w:pPr>
        <w:spacing w:after="0"/>
        <w:jc w:val="both"/>
        <w:rPr>
          <w:rFonts w:cs="Arial"/>
          <w:szCs w:val="20"/>
          <w:u w:val="single"/>
        </w:rPr>
      </w:pPr>
    </w:p>
    <w:p w14:paraId="7A4FDD50" w14:textId="26585206" w:rsidR="007C435A" w:rsidRDefault="00313C2B" w:rsidP="10040D48">
      <w:pPr>
        <w:spacing w:after="0"/>
        <w:jc w:val="both"/>
        <w:rPr>
          <w:rFonts w:cs="Arial"/>
        </w:rPr>
      </w:pPr>
      <w:r w:rsidRPr="10040D48">
        <w:rPr>
          <w:rFonts w:cs="Arial"/>
          <w:u w:val="single"/>
        </w:rPr>
        <w:t>Obrazložitev:</w:t>
      </w:r>
      <w:r w:rsidRPr="10040D48">
        <w:rPr>
          <w:rFonts w:cs="Arial"/>
        </w:rPr>
        <w:t xml:space="preserve"> </w:t>
      </w:r>
      <w:r w:rsidR="634F67D2" w:rsidRPr="3F3C0871">
        <w:rPr>
          <w:rFonts w:cs="Arial"/>
        </w:rPr>
        <w:t xml:space="preserve">Ukrep se jasno dopolni z navedbo </w:t>
      </w:r>
      <w:r w:rsidR="00094BD6">
        <w:rPr>
          <w:rFonts w:cs="Arial"/>
        </w:rPr>
        <w:t>»</w:t>
      </w:r>
      <w:r w:rsidR="634F67D2" w:rsidRPr="3F3C0871">
        <w:rPr>
          <w:rFonts w:cs="Arial"/>
        </w:rPr>
        <w:t>digitalnih kompetenc</w:t>
      </w:r>
      <w:r w:rsidR="00094BD6">
        <w:rPr>
          <w:rFonts w:cs="Arial"/>
        </w:rPr>
        <w:t>«</w:t>
      </w:r>
      <w:r w:rsidR="634F67D2" w:rsidRPr="3F3C0871">
        <w:rPr>
          <w:rFonts w:cs="Arial"/>
        </w:rPr>
        <w:t xml:space="preserve"> zaradi umestitve javn</w:t>
      </w:r>
      <w:r w:rsidR="6708D6AA" w:rsidRPr="3F3C0871">
        <w:rPr>
          <w:rFonts w:cs="Arial"/>
        </w:rPr>
        <w:t>ih</w:t>
      </w:r>
      <w:r w:rsidR="634F67D2" w:rsidRPr="3F3C0871">
        <w:rPr>
          <w:rFonts w:cs="Arial"/>
        </w:rPr>
        <w:t xml:space="preserve"> razpis</w:t>
      </w:r>
      <w:r w:rsidR="655C3758" w:rsidRPr="3F3C0871">
        <w:rPr>
          <w:rFonts w:cs="Arial"/>
        </w:rPr>
        <w:t>ov</w:t>
      </w:r>
      <w:r w:rsidR="634F67D2" w:rsidRPr="3F3C0871">
        <w:rPr>
          <w:rFonts w:cs="Arial"/>
        </w:rPr>
        <w:t xml:space="preserve"> za sofinanciranje izvajanja neformalnih izobraževanj za odrasle na področju digitalnih kompetenc.</w:t>
      </w:r>
      <w:r w:rsidR="0A66D9B6" w:rsidRPr="3F3C0871">
        <w:rPr>
          <w:rFonts w:cs="Arial"/>
        </w:rPr>
        <w:t xml:space="preserve"> Z udeležbo na izobraževanjih bodo udeleženci krepili zavest o prednostih uporabe digitalnih orodij, hkrati pa bo program </w:t>
      </w:r>
      <w:r w:rsidR="347E5C07" w:rsidRPr="3F3C0871">
        <w:rPr>
          <w:rFonts w:cs="Arial"/>
        </w:rPr>
        <w:t xml:space="preserve">finančno še bolj podpiral vključevanje odraslih v vseživljenjsko učenje in tako bolje sledil </w:t>
      </w:r>
      <w:r w:rsidR="1AB602EB" w:rsidRPr="3F3C0871">
        <w:rPr>
          <w:rFonts w:cs="Arial"/>
        </w:rPr>
        <w:t>cilju “najmanj 60 % odraslih vključenih v vseživljenjsko učenje na leto”.</w:t>
      </w:r>
      <w:r w:rsidR="2228A87F" w:rsidRPr="3F288748">
        <w:rPr>
          <w:rFonts w:cs="Arial"/>
        </w:rPr>
        <w:t xml:space="preserve"> </w:t>
      </w:r>
      <w:r w:rsidR="2228A87F" w:rsidRPr="39E492BC">
        <w:rPr>
          <w:rFonts w:cs="Arial"/>
        </w:rPr>
        <w:t xml:space="preserve">Znotraj ukrepa se prepozna tudi umestitev nove operacije s področja digitalnih kompetenc, s poudarkom na </w:t>
      </w:r>
      <w:r w:rsidR="2228A87F" w:rsidRPr="51DF2698">
        <w:rPr>
          <w:rFonts w:cs="Arial"/>
        </w:rPr>
        <w:t xml:space="preserve">vključevanju in spodbujanju žensk </w:t>
      </w:r>
      <w:r w:rsidR="377CD8A4" w:rsidRPr="51DF2698">
        <w:rPr>
          <w:rFonts w:cs="Arial"/>
        </w:rPr>
        <w:t xml:space="preserve">na področje IKT. </w:t>
      </w:r>
      <w:r w:rsidR="126C2856" w:rsidRPr="380B9257">
        <w:rPr>
          <w:rFonts w:cs="Arial"/>
        </w:rPr>
        <w:t>I</w:t>
      </w:r>
      <w:r w:rsidR="4FBC104D" w:rsidRPr="380B9257">
        <w:rPr>
          <w:rFonts w:cs="Arial"/>
        </w:rPr>
        <w:t>zved</w:t>
      </w:r>
      <w:r w:rsidR="1DFC498E" w:rsidRPr="380B9257">
        <w:rPr>
          <w:rFonts w:cs="Arial"/>
        </w:rPr>
        <w:t xml:space="preserve">la se bodo </w:t>
      </w:r>
      <w:r w:rsidR="4FBC104D" w:rsidRPr="380B9257">
        <w:rPr>
          <w:rFonts w:cs="Arial"/>
        </w:rPr>
        <w:t>usposabljanj</w:t>
      </w:r>
      <w:r w:rsidR="5608FCFB" w:rsidRPr="380B9257">
        <w:rPr>
          <w:rFonts w:cs="Arial"/>
        </w:rPr>
        <w:t>a</w:t>
      </w:r>
      <w:r w:rsidR="007C435A" w:rsidRPr="39DCF2B1">
        <w:rPr>
          <w:rFonts w:cs="Arial"/>
        </w:rPr>
        <w:t xml:space="preserve"> s področja informacijsko-komunikacijskih tehnologij za ženske. Izvajali se bodo programi za: strokovnjakinje za kibernetsko varnost, podatkovne analitičarke, strokovnjakinje za IT-podporo, strokovnjakinje za IT-projektno vodenje, strokovnjakinje za načrtovanje in oblikovanje UX (uporabniške izkušnje), strokovnjakinje na področju umetne inteligence. V podporo usposabljanjem bodo udeleženkam predstavljeni različni IKT-poklici in njihove vloge, karierna pot v IKT-sektorju: možnosti izobraževanja in certifikati, povezovanje z IKT-skupnostjo in možnosti mreženja, podpora pri iskanju zaposlitve, predstavitev možnosti nadaljnjega usposabljanja, mentorstva in podpore. </w:t>
      </w:r>
    </w:p>
    <w:p w14:paraId="672F7A44" w14:textId="77777777" w:rsidR="00313C2B" w:rsidRPr="009C4FEB" w:rsidRDefault="00313C2B" w:rsidP="00313C2B">
      <w:pPr>
        <w:spacing w:after="0"/>
        <w:jc w:val="both"/>
        <w:rPr>
          <w:rFonts w:cs="Arial"/>
          <w:szCs w:val="20"/>
        </w:rPr>
      </w:pPr>
    </w:p>
    <w:p w14:paraId="23727113" w14:textId="77777777" w:rsidR="00313C2B" w:rsidRDefault="00313C2B" w:rsidP="00674726">
      <w:pPr>
        <w:pStyle w:val="Odstavekseznama"/>
        <w:numPr>
          <w:ilvl w:val="0"/>
          <w:numId w:val="29"/>
        </w:numPr>
        <w:spacing w:after="0"/>
        <w:jc w:val="both"/>
        <w:rPr>
          <w:rFonts w:cs="Arial"/>
          <w:b/>
          <w:bCs/>
          <w:szCs w:val="20"/>
          <w:u w:val="single"/>
        </w:rPr>
      </w:pPr>
      <w:r w:rsidRPr="00076FA4">
        <w:rPr>
          <w:rFonts w:cs="Arial"/>
          <w:b/>
          <w:bCs/>
          <w:szCs w:val="20"/>
          <w:u w:val="single"/>
        </w:rPr>
        <w:t>Sprememba kazalniki učinka: Tabela 2</w:t>
      </w:r>
    </w:p>
    <w:p w14:paraId="3D1FF6AE" w14:textId="77777777" w:rsidR="00C76CE4" w:rsidRPr="00C76CE4" w:rsidRDefault="00C76CE4" w:rsidP="00C76CE4">
      <w:pPr>
        <w:spacing w:after="0"/>
        <w:jc w:val="both"/>
        <w:rPr>
          <w:rFonts w:cs="Arial"/>
          <w:b/>
          <w:bCs/>
          <w:szCs w:val="20"/>
          <w:u w:val="single"/>
        </w:rPr>
      </w:pPr>
    </w:p>
    <w:p w14:paraId="77D0D3B9" w14:textId="0C3B4FB8" w:rsidR="007C435A" w:rsidRPr="007C435A" w:rsidRDefault="007C435A" w:rsidP="007C435A">
      <w:pPr>
        <w:spacing w:after="0"/>
        <w:jc w:val="both"/>
        <w:rPr>
          <w:rFonts w:cs="Arial"/>
          <w:szCs w:val="20"/>
        </w:rPr>
      </w:pPr>
      <w:r w:rsidRPr="007C435A">
        <w:rPr>
          <w:rFonts w:cs="Arial"/>
          <w:szCs w:val="20"/>
        </w:rPr>
        <w:t xml:space="preserve">Zaradi umestitve </w:t>
      </w:r>
      <w:r w:rsidR="009F5B11">
        <w:rPr>
          <w:rFonts w:cs="Arial"/>
          <w:szCs w:val="20"/>
        </w:rPr>
        <w:t>novih ukrepov</w:t>
      </w:r>
      <w:r w:rsidRPr="007C435A">
        <w:rPr>
          <w:rFonts w:cs="Arial"/>
          <w:szCs w:val="20"/>
        </w:rPr>
        <w:t xml:space="preserve">, se spremenijo končne vrednosti kazalnika učinka EECO01, in sicer: </w:t>
      </w:r>
    </w:p>
    <w:p w14:paraId="215756D2" w14:textId="57548269" w:rsidR="007C435A" w:rsidRPr="007C435A" w:rsidRDefault="007C435A" w:rsidP="10040D48">
      <w:pPr>
        <w:spacing w:after="0"/>
        <w:jc w:val="both"/>
        <w:rPr>
          <w:rFonts w:cs="Arial"/>
        </w:rPr>
      </w:pPr>
      <w:r w:rsidRPr="10040D48">
        <w:rPr>
          <w:rFonts w:cs="Arial"/>
        </w:rPr>
        <w:t>Bolj razvita regija</w:t>
      </w:r>
      <w:r>
        <w:tab/>
      </w:r>
      <w:r w:rsidRPr="10040D48">
        <w:rPr>
          <w:rFonts w:cs="Arial"/>
        </w:rPr>
        <w:t xml:space="preserve">Izhodiščna vrednost </w:t>
      </w:r>
      <w:r>
        <w:tab/>
      </w:r>
      <w:r w:rsidRPr="10040D48">
        <w:rPr>
          <w:rFonts w:cs="Arial"/>
        </w:rPr>
        <w:t xml:space="preserve">Cilj </w:t>
      </w:r>
      <w:r>
        <w:tab/>
      </w:r>
      <w:r w:rsidRPr="10040D48">
        <w:rPr>
          <w:rFonts w:cs="Arial"/>
        </w:rPr>
        <w:t xml:space="preserve">40.751 na </w:t>
      </w:r>
      <w:r w:rsidR="009F39F1" w:rsidRPr="10040D48">
        <w:rPr>
          <w:rFonts w:cs="Arial"/>
        </w:rPr>
        <w:t>59.6</w:t>
      </w:r>
      <w:r w:rsidR="692FA49B" w:rsidRPr="10040D48">
        <w:rPr>
          <w:rFonts w:cs="Arial"/>
        </w:rPr>
        <w:t>71</w:t>
      </w:r>
      <w:r w:rsidRPr="10040D48">
        <w:rPr>
          <w:rFonts w:cs="Arial"/>
        </w:rPr>
        <w:t xml:space="preserve"> (+</w:t>
      </w:r>
      <w:r w:rsidR="009F39F1" w:rsidRPr="10040D48">
        <w:rPr>
          <w:rFonts w:cs="Arial"/>
        </w:rPr>
        <w:t>15.720</w:t>
      </w:r>
      <w:r w:rsidRPr="10040D48">
        <w:rPr>
          <w:rFonts w:cs="Arial"/>
        </w:rPr>
        <w:t>; +3.200)</w:t>
      </w:r>
    </w:p>
    <w:p w14:paraId="0AF72C28" w14:textId="4FC99055" w:rsidR="00313C2B" w:rsidRDefault="007C435A" w:rsidP="00313C2B">
      <w:pPr>
        <w:spacing w:after="0"/>
        <w:jc w:val="both"/>
        <w:rPr>
          <w:rFonts w:cs="Arial"/>
          <w:szCs w:val="20"/>
        </w:rPr>
      </w:pPr>
      <w:r w:rsidRPr="007C435A">
        <w:rPr>
          <w:rFonts w:cs="Arial"/>
          <w:szCs w:val="20"/>
        </w:rPr>
        <w:t>Manj razvita regija</w:t>
      </w:r>
      <w:r w:rsidRPr="007C435A">
        <w:rPr>
          <w:rFonts w:cs="Arial"/>
          <w:szCs w:val="20"/>
        </w:rPr>
        <w:tab/>
        <w:t xml:space="preserve">Izhodiščna vrednost </w:t>
      </w:r>
      <w:r w:rsidRPr="007C435A">
        <w:rPr>
          <w:rFonts w:cs="Arial"/>
          <w:szCs w:val="20"/>
        </w:rPr>
        <w:tab/>
        <w:t xml:space="preserve">Cilj </w:t>
      </w:r>
      <w:r w:rsidRPr="007C435A">
        <w:rPr>
          <w:rFonts w:cs="Arial"/>
          <w:szCs w:val="20"/>
        </w:rPr>
        <w:tab/>
        <w:t xml:space="preserve">59.004 na </w:t>
      </w:r>
      <w:r w:rsidR="009F39F1">
        <w:rPr>
          <w:rFonts w:cs="Arial"/>
          <w:szCs w:val="20"/>
        </w:rPr>
        <w:t>80.084</w:t>
      </w:r>
      <w:r w:rsidRPr="007C435A">
        <w:rPr>
          <w:rFonts w:cs="Arial"/>
          <w:szCs w:val="20"/>
        </w:rPr>
        <w:t xml:space="preserve"> (+</w:t>
      </w:r>
      <w:r w:rsidR="009F39F1">
        <w:rPr>
          <w:rFonts w:cs="Arial"/>
          <w:szCs w:val="20"/>
        </w:rPr>
        <w:t>14.280</w:t>
      </w:r>
      <w:r w:rsidRPr="007C435A">
        <w:rPr>
          <w:rFonts w:cs="Arial"/>
          <w:szCs w:val="20"/>
        </w:rPr>
        <w:t>; +6.800)</w:t>
      </w:r>
    </w:p>
    <w:p w14:paraId="0C303F8B" w14:textId="77777777" w:rsidR="006059E7" w:rsidRPr="009C4FEB" w:rsidRDefault="006059E7" w:rsidP="00313C2B">
      <w:pPr>
        <w:spacing w:after="0"/>
        <w:jc w:val="both"/>
        <w:rPr>
          <w:rFonts w:cs="Arial"/>
          <w:szCs w:val="20"/>
        </w:rPr>
      </w:pPr>
    </w:p>
    <w:p w14:paraId="4765BBF2" w14:textId="77777777" w:rsidR="00313C2B" w:rsidRDefault="00313C2B" w:rsidP="00674726">
      <w:pPr>
        <w:pStyle w:val="Odstavekseznama"/>
        <w:numPr>
          <w:ilvl w:val="0"/>
          <w:numId w:val="29"/>
        </w:numPr>
        <w:spacing w:after="0"/>
        <w:jc w:val="both"/>
        <w:rPr>
          <w:rFonts w:cs="Arial"/>
          <w:b/>
          <w:bCs/>
          <w:szCs w:val="20"/>
          <w:u w:val="single"/>
        </w:rPr>
      </w:pPr>
      <w:r w:rsidRPr="00076FA4">
        <w:rPr>
          <w:rFonts w:cs="Arial"/>
          <w:b/>
          <w:bCs/>
          <w:szCs w:val="20"/>
          <w:u w:val="single"/>
        </w:rPr>
        <w:t>Sprememba kazalnika rezultata: Tabela 3</w:t>
      </w:r>
    </w:p>
    <w:p w14:paraId="3DC33D47" w14:textId="77777777" w:rsidR="00C76CE4" w:rsidRPr="00C76CE4" w:rsidRDefault="00C76CE4" w:rsidP="00C76CE4">
      <w:pPr>
        <w:spacing w:after="0"/>
        <w:jc w:val="both"/>
        <w:rPr>
          <w:rFonts w:cs="Arial"/>
          <w:b/>
          <w:bCs/>
          <w:szCs w:val="20"/>
          <w:u w:val="single"/>
        </w:rPr>
      </w:pPr>
    </w:p>
    <w:p w14:paraId="33416C17" w14:textId="77777777" w:rsidR="007C435A" w:rsidRPr="007C435A" w:rsidRDefault="007C435A" w:rsidP="007C435A">
      <w:pPr>
        <w:spacing w:after="0"/>
        <w:jc w:val="both"/>
        <w:rPr>
          <w:rFonts w:cs="Arial"/>
          <w:szCs w:val="20"/>
        </w:rPr>
      </w:pPr>
      <w:r w:rsidRPr="007C435A">
        <w:rPr>
          <w:rFonts w:cs="Arial"/>
          <w:szCs w:val="20"/>
        </w:rPr>
        <w:t xml:space="preserve">Za skupni kazalnik rezultata EECR03 (Udeleženci, ki po zaključku sodelovanja pridobijo kvalifikacijo) napačno vnesena vrednost izhodiščne/referenčne vrednosti in ciljne vrednosti kazalnika. V obeh kategorijah regije je vnesena skupna načrtovana (seštevek obeh kategorij regij) vrednost kazalnika </w:t>
      </w:r>
      <w:r w:rsidRPr="007C435A">
        <w:rPr>
          <w:rFonts w:cs="Arial"/>
          <w:szCs w:val="20"/>
        </w:rPr>
        <w:lastRenderedPageBreak/>
        <w:t>rezultata, ustrezno je treba vnesti vrednosti po posamezni kategoriji regije. Skupna vrednost se ne spreminja.</w:t>
      </w:r>
    </w:p>
    <w:p w14:paraId="6FDC7024" w14:textId="77777777" w:rsidR="007C435A" w:rsidRPr="007C435A" w:rsidRDefault="007C435A" w:rsidP="007C435A">
      <w:pPr>
        <w:spacing w:after="0"/>
        <w:jc w:val="both"/>
        <w:rPr>
          <w:rFonts w:cs="Arial"/>
          <w:szCs w:val="20"/>
        </w:rPr>
      </w:pPr>
      <w:r w:rsidRPr="007C435A">
        <w:rPr>
          <w:rFonts w:cs="Arial"/>
          <w:szCs w:val="20"/>
        </w:rPr>
        <w:t>Bolj razvita regija</w:t>
      </w:r>
      <w:r w:rsidRPr="007C435A">
        <w:rPr>
          <w:rFonts w:cs="Arial"/>
          <w:szCs w:val="20"/>
        </w:rPr>
        <w:tab/>
        <w:t xml:space="preserve">Izhodiščna vrednost </w:t>
      </w:r>
      <w:r w:rsidRPr="007C435A">
        <w:rPr>
          <w:rFonts w:cs="Arial"/>
          <w:szCs w:val="20"/>
        </w:rPr>
        <w:tab/>
        <w:t>iz 74.708 na 29.883</w:t>
      </w:r>
      <w:r w:rsidRPr="007C435A">
        <w:rPr>
          <w:rFonts w:cs="Arial"/>
          <w:szCs w:val="20"/>
        </w:rPr>
        <w:tab/>
        <w:t xml:space="preserve">Cilj </w:t>
      </w:r>
      <w:r w:rsidRPr="007C435A">
        <w:rPr>
          <w:rFonts w:cs="Arial"/>
          <w:szCs w:val="20"/>
        </w:rPr>
        <w:tab/>
        <w:t>iz 10.800 na 4.320</w:t>
      </w:r>
    </w:p>
    <w:p w14:paraId="1576A71E" w14:textId="3A84E168" w:rsidR="00313C2B" w:rsidRDefault="007C435A" w:rsidP="00313C2B">
      <w:pPr>
        <w:spacing w:after="0"/>
        <w:jc w:val="both"/>
        <w:rPr>
          <w:rFonts w:cs="Arial"/>
          <w:szCs w:val="20"/>
        </w:rPr>
      </w:pPr>
      <w:r w:rsidRPr="007C435A">
        <w:rPr>
          <w:rFonts w:cs="Arial"/>
          <w:szCs w:val="20"/>
        </w:rPr>
        <w:t>Manj razvita regija</w:t>
      </w:r>
      <w:r w:rsidRPr="007C435A">
        <w:rPr>
          <w:rFonts w:cs="Arial"/>
          <w:szCs w:val="20"/>
        </w:rPr>
        <w:tab/>
        <w:t xml:space="preserve">Izhodiščna vrednost </w:t>
      </w:r>
      <w:r w:rsidRPr="007C435A">
        <w:rPr>
          <w:rFonts w:cs="Arial"/>
          <w:szCs w:val="20"/>
        </w:rPr>
        <w:tab/>
        <w:t xml:space="preserve">iz 74.708 na 44.825 </w:t>
      </w:r>
      <w:r w:rsidRPr="007C435A">
        <w:rPr>
          <w:rFonts w:cs="Arial"/>
          <w:szCs w:val="20"/>
        </w:rPr>
        <w:tab/>
        <w:t xml:space="preserve">Cilj </w:t>
      </w:r>
      <w:r w:rsidRPr="007C435A">
        <w:rPr>
          <w:rFonts w:cs="Arial"/>
          <w:szCs w:val="20"/>
        </w:rPr>
        <w:tab/>
        <w:t>iz 10.800 na 6.480</w:t>
      </w:r>
    </w:p>
    <w:p w14:paraId="762A91F7" w14:textId="77777777" w:rsidR="00313C2B" w:rsidRPr="009C4FEB" w:rsidRDefault="00313C2B" w:rsidP="07AE08D9">
      <w:pPr>
        <w:spacing w:after="0"/>
        <w:rPr>
          <w:rFonts w:cs="Arial"/>
          <w:szCs w:val="20"/>
        </w:rPr>
      </w:pPr>
    </w:p>
    <w:p w14:paraId="67CBCA23" w14:textId="42ED165D" w:rsidR="07AE08D9" w:rsidRDefault="1C758CC5" w:rsidP="00674726">
      <w:pPr>
        <w:pStyle w:val="Odstavekseznama"/>
        <w:numPr>
          <w:ilvl w:val="0"/>
          <w:numId w:val="29"/>
        </w:numPr>
        <w:spacing w:after="0"/>
        <w:rPr>
          <w:rFonts w:cs="Arial"/>
          <w:b/>
          <w:bCs/>
          <w:u w:val="single"/>
        </w:rPr>
      </w:pPr>
      <w:r w:rsidRPr="00674726">
        <w:rPr>
          <w:rFonts w:cs="Arial"/>
          <w:b/>
          <w:bCs/>
          <w:u w:val="single"/>
        </w:rPr>
        <w:t>Sprememba razčlenitve načrtovanih sredstev glede na vrsto ukrepa</w:t>
      </w:r>
    </w:p>
    <w:p w14:paraId="47EA30CE" w14:textId="77777777" w:rsidR="00C76CE4" w:rsidRPr="00C76CE4" w:rsidRDefault="00C76CE4" w:rsidP="00C76CE4">
      <w:pPr>
        <w:spacing w:after="0"/>
        <w:rPr>
          <w:rFonts w:cs="Arial"/>
          <w:b/>
          <w:bCs/>
          <w:u w:val="single"/>
        </w:rPr>
      </w:pPr>
    </w:p>
    <w:p w14:paraId="68FFBC32" w14:textId="27FD1C05" w:rsidR="50A3D506" w:rsidRPr="00674726" w:rsidRDefault="1746F822" w:rsidP="16A3E5FB">
      <w:pPr>
        <w:spacing w:after="0"/>
        <w:jc w:val="both"/>
        <w:rPr>
          <w:rFonts w:cs="Arial"/>
        </w:rPr>
      </w:pPr>
      <w:r w:rsidRPr="3ABF9D32">
        <w:rPr>
          <w:rFonts w:cs="Arial"/>
        </w:rPr>
        <w:t>Zaradi dopolnitve obstoječih ukrepov z novimi programi se zvišajo razpoložljiva sredstva za podporo za izobraževanje odraslih (razen infrastrukture).</w:t>
      </w:r>
    </w:p>
    <w:p w14:paraId="26D78C75" w14:textId="14E2C78C" w:rsidR="16A3E5FB" w:rsidRDefault="16A3E5FB" w:rsidP="16A3E5FB">
      <w:pPr>
        <w:spacing w:after="0"/>
        <w:jc w:val="both"/>
        <w:rPr>
          <w:rFonts w:cs="Arial"/>
          <w:b/>
          <w:bCs/>
        </w:rPr>
      </w:pPr>
    </w:p>
    <w:p w14:paraId="5A2E9AFA" w14:textId="77777777" w:rsidR="00313C2B" w:rsidRPr="00674726" w:rsidRDefault="00313C2B" w:rsidP="00674726">
      <w:pPr>
        <w:pStyle w:val="Naslov3"/>
        <w:numPr>
          <w:ilvl w:val="2"/>
          <w:numId w:val="2"/>
        </w:numPr>
        <w:rPr>
          <w:color w:val="4472C4" w:themeColor="accent1"/>
        </w:rPr>
      </w:pPr>
      <w:bookmarkStart w:id="197" w:name="_Toc191383878"/>
      <w:r w:rsidRPr="00674726">
        <w:rPr>
          <w:color w:val="4472C4" w:themeColor="accent1"/>
        </w:rPr>
        <w:t>ESO4.8. Pospeševanje dejavnega vključevanja za spodbujanje enakih možnosti, nediskriminacije in aktivne udeležbe ter povečevanje zaposljivosti, zlasti za prikrajšane skupine (ESS+)</w:t>
      </w:r>
      <w:bookmarkEnd w:id="197"/>
    </w:p>
    <w:p w14:paraId="48FC588A" w14:textId="77777777" w:rsidR="00313C2B" w:rsidRPr="009C4FEB" w:rsidRDefault="00313C2B" w:rsidP="00313C2B">
      <w:pPr>
        <w:spacing w:after="0"/>
        <w:jc w:val="both"/>
        <w:rPr>
          <w:rFonts w:cs="Arial"/>
          <w:szCs w:val="20"/>
        </w:rPr>
      </w:pPr>
    </w:p>
    <w:p w14:paraId="13DD794E" w14:textId="77777777" w:rsidR="00313C2B" w:rsidRDefault="00313C2B" w:rsidP="00313C2B">
      <w:pPr>
        <w:numPr>
          <w:ilvl w:val="0"/>
          <w:numId w:val="36"/>
        </w:numPr>
        <w:spacing w:after="0"/>
        <w:contextualSpacing/>
        <w:jc w:val="both"/>
        <w:rPr>
          <w:rFonts w:cs="Arial"/>
          <w:b/>
          <w:bCs/>
          <w:szCs w:val="20"/>
          <w:u w:val="single"/>
        </w:rPr>
      </w:pPr>
      <w:r w:rsidRPr="00076FA4">
        <w:rPr>
          <w:rFonts w:cs="Arial"/>
          <w:b/>
          <w:bCs/>
          <w:szCs w:val="20"/>
          <w:u w:val="single"/>
        </w:rPr>
        <w:t>Sprememba kazalnikov učinka: Tabela 2</w:t>
      </w:r>
    </w:p>
    <w:p w14:paraId="4AD0A0C2" w14:textId="77777777" w:rsidR="00C76CE4" w:rsidRPr="00076FA4" w:rsidRDefault="00C76CE4" w:rsidP="00C76CE4">
      <w:pPr>
        <w:spacing w:after="0"/>
        <w:contextualSpacing/>
        <w:jc w:val="both"/>
        <w:rPr>
          <w:rFonts w:cs="Arial"/>
          <w:b/>
          <w:bCs/>
          <w:szCs w:val="20"/>
          <w:u w:val="single"/>
        </w:rPr>
      </w:pPr>
    </w:p>
    <w:p w14:paraId="328370A4" w14:textId="77777777" w:rsidR="00313C2B" w:rsidRPr="009C4FEB" w:rsidRDefault="00313C2B" w:rsidP="00313C2B">
      <w:pPr>
        <w:spacing w:after="0"/>
        <w:jc w:val="both"/>
        <w:rPr>
          <w:rFonts w:cs="Arial"/>
          <w:szCs w:val="20"/>
        </w:rPr>
      </w:pPr>
      <w:r w:rsidRPr="009C4FEB">
        <w:rPr>
          <w:rFonts w:cs="Arial"/>
          <w:szCs w:val="20"/>
        </w:rPr>
        <w:t xml:space="preserve">MDDSZ predlaga </w:t>
      </w:r>
      <w:r w:rsidRPr="009C4FEB">
        <w:rPr>
          <w:rFonts w:cs="Arial"/>
          <w:b/>
          <w:bCs/>
          <w:szCs w:val="20"/>
        </w:rPr>
        <w:t>znižanje</w:t>
      </w:r>
      <w:r w:rsidRPr="009C4FEB">
        <w:rPr>
          <w:rFonts w:cs="Arial"/>
          <w:szCs w:val="20"/>
        </w:rPr>
        <w:t xml:space="preserve"> vrednosti kazalnika EECO02, in sicer:</w:t>
      </w:r>
    </w:p>
    <w:p w14:paraId="77850C1B" w14:textId="77777777" w:rsidR="00313C2B" w:rsidRPr="009C4FEB" w:rsidRDefault="00313C2B" w:rsidP="00313C2B">
      <w:pPr>
        <w:spacing w:after="0"/>
        <w:jc w:val="both"/>
        <w:rPr>
          <w:rFonts w:cs="Arial"/>
          <w:szCs w:val="20"/>
        </w:rPr>
      </w:pPr>
      <w:r w:rsidRPr="009C4FEB">
        <w:rPr>
          <w:rFonts w:cs="Arial"/>
          <w:szCs w:val="20"/>
        </w:rPr>
        <w:t>Bolj razvita regija</w:t>
      </w:r>
      <w:r w:rsidRPr="009C4FEB">
        <w:rPr>
          <w:rFonts w:cs="Arial"/>
          <w:szCs w:val="20"/>
        </w:rPr>
        <w:tab/>
        <w:t xml:space="preserve">Izhodiščna vrednost </w:t>
      </w:r>
      <w:r w:rsidRPr="009C4FEB">
        <w:rPr>
          <w:rFonts w:cs="Arial"/>
          <w:szCs w:val="20"/>
        </w:rPr>
        <w:tab/>
        <w:t xml:space="preserve">Cilj </w:t>
      </w:r>
      <w:r w:rsidRPr="009C4FEB">
        <w:rPr>
          <w:rFonts w:cs="Arial"/>
          <w:szCs w:val="20"/>
        </w:rPr>
        <w:tab/>
        <w:t>iz 2.718 na 2.487</w:t>
      </w:r>
    </w:p>
    <w:p w14:paraId="462E616B" w14:textId="77777777" w:rsidR="00313C2B" w:rsidRPr="009C4FEB" w:rsidRDefault="00313C2B" w:rsidP="00313C2B">
      <w:pPr>
        <w:spacing w:after="0"/>
        <w:jc w:val="both"/>
        <w:rPr>
          <w:rFonts w:cs="Arial"/>
          <w:szCs w:val="20"/>
        </w:rPr>
      </w:pPr>
      <w:r w:rsidRPr="009C4FEB">
        <w:rPr>
          <w:rFonts w:cs="Arial"/>
          <w:szCs w:val="20"/>
        </w:rPr>
        <w:t>Manj razvita regija</w:t>
      </w:r>
      <w:r w:rsidRPr="009C4FEB">
        <w:rPr>
          <w:rFonts w:cs="Arial"/>
          <w:szCs w:val="20"/>
        </w:rPr>
        <w:tab/>
        <w:t xml:space="preserve">Izhodiščna vrednost </w:t>
      </w:r>
      <w:r w:rsidRPr="009C4FEB">
        <w:rPr>
          <w:rFonts w:cs="Arial"/>
          <w:szCs w:val="20"/>
        </w:rPr>
        <w:tab/>
        <w:t xml:space="preserve">Cilj </w:t>
      </w:r>
      <w:r w:rsidRPr="009C4FEB">
        <w:rPr>
          <w:rFonts w:cs="Arial"/>
          <w:szCs w:val="20"/>
        </w:rPr>
        <w:tab/>
        <w:t>iz 5.752 na 5.188</w:t>
      </w:r>
    </w:p>
    <w:p w14:paraId="7C5C1837" w14:textId="77777777" w:rsidR="00313C2B" w:rsidRPr="009C4FEB" w:rsidRDefault="00313C2B" w:rsidP="00313C2B">
      <w:pPr>
        <w:spacing w:after="0"/>
        <w:jc w:val="both"/>
        <w:rPr>
          <w:rFonts w:cs="Arial"/>
          <w:szCs w:val="20"/>
        </w:rPr>
      </w:pPr>
    </w:p>
    <w:p w14:paraId="7419E7B8" w14:textId="20672F0B" w:rsidR="00313C2B" w:rsidRDefault="00313C2B" w:rsidP="00313C2B">
      <w:pPr>
        <w:spacing w:after="0"/>
        <w:jc w:val="both"/>
        <w:rPr>
          <w:rFonts w:cs="Arial"/>
          <w:szCs w:val="20"/>
        </w:rPr>
      </w:pPr>
      <w:r w:rsidRPr="009C4FEB">
        <w:rPr>
          <w:rFonts w:cs="Arial"/>
          <w:szCs w:val="20"/>
          <w:u w:val="single"/>
        </w:rPr>
        <w:t>Obrazložitev</w:t>
      </w:r>
      <w:r w:rsidRPr="009C4FEB">
        <w:rPr>
          <w:rFonts w:cs="Arial"/>
          <w:szCs w:val="20"/>
        </w:rPr>
        <w:t>: Predlog za nižanje vrednosti zaradi JR SA+ (prenizko ocenjene vrednosti stroška na posameznika) Skladno z PEKP 2021</w:t>
      </w:r>
      <w:r w:rsidR="00811995" w:rsidRPr="00C13D02">
        <w:rPr>
          <w:rFonts w:cstheme="minorHAnsi"/>
          <w:kern w:val="0"/>
        </w:rPr>
        <w:t>–</w:t>
      </w:r>
      <w:r w:rsidRPr="009C4FEB">
        <w:rPr>
          <w:rFonts w:cs="Arial"/>
          <w:szCs w:val="20"/>
        </w:rPr>
        <w:t>2027 je predvideno 4.320 vključitev, od tega 3.024 KRZS in 1.296 v KRZS. Nov predlog: 2.460 udeležencev v KRVS in predvidoma 1.065 udeležencev v KRZS.</w:t>
      </w:r>
    </w:p>
    <w:p w14:paraId="697DFAB6" w14:textId="77777777" w:rsidR="00465441" w:rsidRPr="009C4FEB" w:rsidRDefault="00465441" w:rsidP="00313C2B">
      <w:pPr>
        <w:spacing w:after="0"/>
        <w:jc w:val="both"/>
        <w:rPr>
          <w:rFonts w:cs="Arial"/>
          <w:szCs w:val="20"/>
        </w:rPr>
      </w:pPr>
    </w:p>
    <w:p w14:paraId="1DF875B2" w14:textId="77777777" w:rsidR="00313C2B" w:rsidRPr="00674726" w:rsidRDefault="00313C2B" w:rsidP="00674726">
      <w:pPr>
        <w:pStyle w:val="Naslov3"/>
        <w:numPr>
          <w:ilvl w:val="2"/>
          <w:numId w:val="2"/>
        </w:numPr>
        <w:rPr>
          <w:color w:val="4472C4" w:themeColor="accent1"/>
        </w:rPr>
      </w:pPr>
      <w:bookmarkStart w:id="198" w:name="_Toc191383879"/>
      <w:r w:rsidRPr="00674726">
        <w:rPr>
          <w:color w:val="4472C4" w:themeColor="accent1"/>
        </w:rPr>
        <w:t>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 (ESS+)</w:t>
      </w:r>
      <w:bookmarkEnd w:id="198"/>
    </w:p>
    <w:p w14:paraId="5FC7FF09" w14:textId="77777777" w:rsidR="00313C2B" w:rsidRDefault="00313C2B" w:rsidP="00313C2B">
      <w:pPr>
        <w:spacing w:after="0"/>
        <w:jc w:val="both"/>
        <w:rPr>
          <w:rFonts w:cs="Arial"/>
          <w:szCs w:val="20"/>
        </w:rPr>
      </w:pPr>
    </w:p>
    <w:p w14:paraId="7910A9A0" w14:textId="6740CCC3" w:rsidR="00094BD6" w:rsidRPr="00094BD6" w:rsidRDefault="00094BD6" w:rsidP="00094BD6">
      <w:pPr>
        <w:pStyle w:val="Odstavekseznama"/>
        <w:numPr>
          <w:ilvl w:val="0"/>
          <w:numId w:val="31"/>
        </w:numPr>
        <w:spacing w:after="0"/>
        <w:jc w:val="both"/>
        <w:rPr>
          <w:rFonts w:cs="Arial"/>
          <w:b/>
          <w:bCs/>
          <w:szCs w:val="20"/>
          <w:u w:val="single"/>
        </w:rPr>
      </w:pPr>
      <w:r w:rsidRPr="00094BD6">
        <w:rPr>
          <w:rFonts w:cs="Arial"/>
          <w:b/>
          <w:bCs/>
          <w:szCs w:val="20"/>
          <w:u w:val="single"/>
        </w:rPr>
        <w:t xml:space="preserve">Opis spremembe </w:t>
      </w:r>
      <w:r>
        <w:rPr>
          <w:rFonts w:cs="Arial"/>
          <w:b/>
          <w:bCs/>
          <w:szCs w:val="20"/>
          <w:u w:val="single"/>
        </w:rPr>
        <w:t>ukrepa</w:t>
      </w:r>
    </w:p>
    <w:p w14:paraId="5D3C1414" w14:textId="46F5BBA5" w:rsidR="00B14BEA" w:rsidRPr="00E64B2B" w:rsidRDefault="7C21BE2E" w:rsidP="00674726">
      <w:pPr>
        <w:spacing w:before="100"/>
        <w:jc w:val="both"/>
        <w:rPr>
          <w:color w:val="000000"/>
        </w:rPr>
      </w:pPr>
      <w:r w:rsidRPr="3ABF9D32">
        <w:rPr>
          <w:color w:val="000000" w:themeColor="text1"/>
        </w:rPr>
        <w:t xml:space="preserve">Ministrstvo za delo, družino, socialne zadeve in enake možnosti v vlogi posredniškega telesa predlaga </w:t>
      </w:r>
      <w:r w:rsidR="4F2037E4" w:rsidRPr="3ABF9D32">
        <w:rPr>
          <w:color w:val="000000" w:themeColor="text1"/>
        </w:rPr>
        <w:t xml:space="preserve">brisanje ukrepa </w:t>
      </w:r>
      <w:r w:rsidR="5C0C1A23" w:rsidRPr="3ABF9D32">
        <w:rPr>
          <w:color w:val="000000" w:themeColor="text1"/>
        </w:rPr>
        <w:t>“</w:t>
      </w:r>
      <w:r w:rsidR="4F2037E4" w:rsidRPr="3ABF9D32">
        <w:rPr>
          <w:i/>
          <w:iCs/>
          <w:color w:val="000000" w:themeColor="text1"/>
        </w:rPr>
        <w:t>socialnega vključevanja invalidov:</w:t>
      </w:r>
      <w:r w:rsidR="4F2037E4" w:rsidRPr="3ABF9D32">
        <w:rPr>
          <w:color w:val="000000" w:themeColor="text1"/>
        </w:rPr>
        <w:t xml:space="preserve"> vzpostavili bomo podporna okolja za izboljšanje njihove socialne vključenosti, vzpostavili kvalitetne storitve in spremljali razvoj storitev socialnega vključevanja, ter jim tako zagotovili</w:t>
      </w:r>
      <w:r w:rsidR="1DE7A2C6" w:rsidRPr="3ABF9D32">
        <w:rPr>
          <w:color w:val="000000" w:themeColor="text1"/>
        </w:rPr>
        <w:t xml:space="preserve"> </w:t>
      </w:r>
      <w:r w:rsidR="4F2037E4" w:rsidRPr="3ABF9D32">
        <w:rPr>
          <w:color w:val="000000" w:themeColor="text1"/>
        </w:rPr>
        <w:t>samostojnejše bivanje s podporo; posebna pozornost bo namenjena osebam z lažjo motnjo v duševnem razvoju, za katere bodo razvite podporne storitve, ki jim bodo omogočile učinkovitejše zaposlovanje”.</w:t>
      </w:r>
    </w:p>
    <w:p w14:paraId="49DAF584" w14:textId="0A182E85" w:rsidR="00B14BEA" w:rsidRPr="00E64B2B" w:rsidRDefault="4F2037E4" w:rsidP="00674726">
      <w:pPr>
        <w:spacing w:before="100"/>
        <w:jc w:val="both"/>
        <w:rPr>
          <w:color w:val="000000" w:themeColor="text1"/>
        </w:rPr>
      </w:pPr>
      <w:r w:rsidRPr="00674726">
        <w:rPr>
          <w:color w:val="000000" w:themeColor="text1"/>
          <w:u w:val="single"/>
        </w:rPr>
        <w:t>Obrazložitev:</w:t>
      </w:r>
      <w:r w:rsidR="411BB878" w:rsidRPr="3ABF9D32">
        <w:rPr>
          <w:color w:val="000000" w:themeColor="text1"/>
        </w:rPr>
        <w:t xml:space="preserve"> </w:t>
      </w:r>
      <w:r w:rsidR="0FAD22C3" w:rsidRPr="3ABF9D32">
        <w:rPr>
          <w:color w:val="000000" w:themeColor="text1"/>
        </w:rPr>
        <w:t>Vsebine tega ukrepa bodo smiselno vključene v operacijo, izvedeno v okviru prvega ukrepa tega specifičnega cilja.</w:t>
      </w:r>
    </w:p>
    <w:p w14:paraId="168FE027" w14:textId="367086F1" w:rsidR="00313C2B" w:rsidRDefault="21381A54" w:rsidP="00094BD6">
      <w:pPr>
        <w:pStyle w:val="Odstavekseznama"/>
        <w:numPr>
          <w:ilvl w:val="0"/>
          <w:numId w:val="31"/>
        </w:numPr>
        <w:spacing w:after="0"/>
        <w:jc w:val="both"/>
        <w:rPr>
          <w:rFonts w:cs="Arial"/>
          <w:b/>
          <w:bCs/>
          <w:szCs w:val="20"/>
          <w:u w:val="single"/>
        </w:rPr>
      </w:pPr>
      <w:r w:rsidRPr="00094BD6">
        <w:rPr>
          <w:rFonts w:cs="Arial"/>
          <w:b/>
          <w:bCs/>
          <w:szCs w:val="20"/>
          <w:u w:val="single"/>
        </w:rPr>
        <w:t>Opis spremembe ciljne skupine</w:t>
      </w:r>
    </w:p>
    <w:p w14:paraId="6B7AB612" w14:textId="77777777" w:rsidR="00C76CE4" w:rsidRPr="00C76CE4" w:rsidRDefault="00C76CE4" w:rsidP="00C76CE4">
      <w:pPr>
        <w:spacing w:after="0"/>
        <w:jc w:val="both"/>
        <w:rPr>
          <w:rFonts w:cs="Arial"/>
          <w:b/>
          <w:bCs/>
          <w:szCs w:val="20"/>
          <w:u w:val="single"/>
        </w:rPr>
      </w:pPr>
    </w:p>
    <w:p w14:paraId="2896F084" w14:textId="77777777" w:rsidR="00313C2B" w:rsidRPr="009C4FEB" w:rsidRDefault="00313C2B" w:rsidP="00313C2B">
      <w:pPr>
        <w:spacing w:after="0"/>
        <w:jc w:val="both"/>
        <w:rPr>
          <w:rFonts w:cs="Arial"/>
          <w:szCs w:val="20"/>
        </w:rPr>
      </w:pPr>
      <w:r w:rsidRPr="009C4FEB">
        <w:rPr>
          <w:rFonts w:cs="Arial"/>
          <w:szCs w:val="20"/>
        </w:rPr>
        <w:t>Na Ministrstvu za zdravje so tekom priprave predloga novega projekta opazili, da v razdelku za glavne ciljne skupine v navedbi upravičencev manjka eden izmed potencialnih upravičencev. V razdelku za glavne ciljne skupine se navedba »Upravičenci: institucije na področju socialnega varstva, ministrstva, CSD, IRSSV, NVO, javni zavodi, VIZ, krovne športne organizacije, izvajalci dolgotrajne oskrbe ter zdravstvene dejavnosti, organizacije, ki lahko prispevajo k izboljšanju na področju dela z družinami in njihovimi posameznimi družinskimi člani (vključene tudi kulturne ustanove), uporabniki s posameznih delovnih področij socialnega in invalidskega varstva in družine.«</w:t>
      </w:r>
    </w:p>
    <w:p w14:paraId="4195C235" w14:textId="77777777" w:rsidR="00313C2B" w:rsidRPr="009C4FEB" w:rsidRDefault="00313C2B" w:rsidP="00313C2B">
      <w:pPr>
        <w:spacing w:after="0"/>
        <w:jc w:val="both"/>
        <w:rPr>
          <w:rFonts w:cs="Arial"/>
          <w:szCs w:val="20"/>
        </w:rPr>
      </w:pPr>
    </w:p>
    <w:p w14:paraId="29484552" w14:textId="6F084596" w:rsidR="00313C2B" w:rsidRPr="009C4FEB" w:rsidRDefault="007E721F" w:rsidP="00313C2B">
      <w:pPr>
        <w:spacing w:after="0"/>
        <w:jc w:val="both"/>
        <w:rPr>
          <w:rFonts w:cs="Arial"/>
          <w:szCs w:val="20"/>
        </w:rPr>
      </w:pPr>
      <w:r w:rsidRPr="007E721F">
        <w:rPr>
          <w:rFonts w:cs="Arial"/>
          <w:szCs w:val="20"/>
        </w:rPr>
        <w:lastRenderedPageBreak/>
        <w:t xml:space="preserve">se </w:t>
      </w:r>
      <w:r w:rsidR="00313C2B" w:rsidRPr="007E721F">
        <w:rPr>
          <w:rFonts w:cs="Arial"/>
          <w:szCs w:val="20"/>
        </w:rPr>
        <w:t>spremeni v</w:t>
      </w:r>
    </w:p>
    <w:p w14:paraId="54981B00" w14:textId="77777777" w:rsidR="00313C2B" w:rsidRPr="009C4FEB" w:rsidRDefault="00313C2B" w:rsidP="00313C2B">
      <w:pPr>
        <w:spacing w:after="0"/>
        <w:jc w:val="both"/>
        <w:rPr>
          <w:rFonts w:cs="Arial"/>
          <w:szCs w:val="20"/>
        </w:rPr>
      </w:pPr>
    </w:p>
    <w:p w14:paraId="6A50C263" w14:textId="77777777" w:rsidR="00313C2B" w:rsidRPr="009C4FEB" w:rsidRDefault="00313C2B" w:rsidP="00313C2B">
      <w:pPr>
        <w:spacing w:after="0"/>
        <w:jc w:val="both"/>
        <w:rPr>
          <w:rFonts w:cs="Arial"/>
          <w:szCs w:val="20"/>
        </w:rPr>
      </w:pPr>
      <w:r w:rsidRPr="009C4FEB">
        <w:rPr>
          <w:rFonts w:cs="Arial"/>
          <w:szCs w:val="20"/>
        </w:rPr>
        <w:t>»Upravičenci: institucije na področju socialnega varstva in zdravstva, ministrstva, CSD, IRSSV, NVO, javni zavodi, VIZ, krovne športne organizacije, izvajalci dolgotrajne oskrbe ter zdravstvene dejavnosti, zbornice in druge organizacije, ki pripomorejo k izboljšanju zdravstvenega sistema ter dela z družinami in njihovimi posameznimi družinskimi člani (vključene tudi kulturne ustanove), uporabniki s posameznih delovnih področij socialnega in invalidskega varstva in družine.«</w:t>
      </w:r>
    </w:p>
    <w:p w14:paraId="373E45AE" w14:textId="77777777" w:rsidR="00313C2B" w:rsidRPr="009C4FEB" w:rsidRDefault="00313C2B" w:rsidP="00313C2B">
      <w:pPr>
        <w:spacing w:after="0"/>
        <w:jc w:val="both"/>
        <w:rPr>
          <w:rFonts w:cs="Arial"/>
          <w:szCs w:val="20"/>
        </w:rPr>
      </w:pPr>
    </w:p>
    <w:p w14:paraId="6B03E565" w14:textId="7033F5F6" w:rsidR="00313C2B" w:rsidRDefault="00313C2B" w:rsidP="007C435A">
      <w:pPr>
        <w:spacing w:after="0"/>
        <w:jc w:val="both"/>
        <w:rPr>
          <w:rFonts w:cs="Arial"/>
          <w:szCs w:val="20"/>
        </w:rPr>
      </w:pPr>
      <w:r w:rsidRPr="009C4FEB">
        <w:rPr>
          <w:rFonts w:cs="Arial"/>
          <w:szCs w:val="20"/>
          <w:u w:val="single"/>
        </w:rPr>
        <w:t>Obrazložitev</w:t>
      </w:r>
      <w:r w:rsidRPr="009C4FEB">
        <w:rPr>
          <w:rFonts w:cs="Arial"/>
          <w:szCs w:val="20"/>
        </w:rPr>
        <w:t xml:space="preserve">: </w:t>
      </w:r>
      <w:r w:rsidR="007C435A" w:rsidRPr="00C46B31">
        <w:rPr>
          <w:rFonts w:cs="Arial"/>
          <w:szCs w:val="20"/>
        </w:rPr>
        <w:t>Kot pomembni akterji in deležniki na področju priprave in izvajanja ukrepov na področju zdravstva in doseganja cilja krepitve zdravstvenih storitev so tudi zbornice.</w:t>
      </w:r>
    </w:p>
    <w:p w14:paraId="16B81284" w14:textId="77777777" w:rsidR="00E34B1A" w:rsidRPr="009C4FEB" w:rsidRDefault="00E34B1A" w:rsidP="007C435A">
      <w:pPr>
        <w:spacing w:after="0"/>
        <w:jc w:val="both"/>
        <w:rPr>
          <w:rFonts w:cs="Arial"/>
          <w:szCs w:val="20"/>
        </w:rPr>
      </w:pPr>
    </w:p>
    <w:p w14:paraId="62BB8820" w14:textId="538F37E7" w:rsidR="00313C2B" w:rsidRPr="00C76CE4" w:rsidRDefault="00313C2B" w:rsidP="00C76CE4">
      <w:pPr>
        <w:pStyle w:val="Odstavekseznama"/>
        <w:numPr>
          <w:ilvl w:val="0"/>
          <w:numId w:val="31"/>
        </w:numPr>
        <w:spacing w:after="0"/>
        <w:jc w:val="both"/>
        <w:rPr>
          <w:rFonts w:cs="Arial"/>
          <w:b/>
          <w:bCs/>
          <w:szCs w:val="20"/>
          <w:u w:val="single"/>
        </w:rPr>
      </w:pPr>
      <w:r w:rsidRPr="00C76CE4">
        <w:rPr>
          <w:rFonts w:cs="Arial"/>
          <w:b/>
          <w:bCs/>
          <w:szCs w:val="20"/>
          <w:u w:val="single"/>
        </w:rPr>
        <w:t>Spremembe kazalnikov učinka: Tabela 2</w:t>
      </w:r>
    </w:p>
    <w:p w14:paraId="7359B55A" w14:textId="77777777" w:rsidR="00C76CE4" w:rsidRPr="00C76CE4" w:rsidRDefault="00C76CE4" w:rsidP="00C76CE4">
      <w:pPr>
        <w:spacing w:after="0"/>
        <w:jc w:val="both"/>
        <w:rPr>
          <w:rFonts w:cs="Arial"/>
          <w:b/>
          <w:bCs/>
          <w:szCs w:val="20"/>
          <w:u w:val="single"/>
        </w:rPr>
      </w:pPr>
    </w:p>
    <w:p w14:paraId="4F622704" w14:textId="77777777" w:rsidR="00313C2B" w:rsidRPr="009C4FEB" w:rsidRDefault="00313C2B" w:rsidP="00313C2B">
      <w:pPr>
        <w:spacing w:after="0"/>
        <w:jc w:val="both"/>
        <w:rPr>
          <w:rFonts w:cs="Arial"/>
          <w:szCs w:val="20"/>
        </w:rPr>
      </w:pPr>
      <w:r w:rsidRPr="009C4FEB">
        <w:rPr>
          <w:rFonts w:cs="Arial"/>
          <w:szCs w:val="20"/>
        </w:rPr>
        <w:t>Bolj razvita regija</w:t>
      </w:r>
      <w:r w:rsidRPr="009C4FEB">
        <w:rPr>
          <w:rFonts w:cs="Arial"/>
          <w:szCs w:val="20"/>
        </w:rPr>
        <w:tab/>
        <w:t xml:space="preserve">Izhodiščna vrednost </w:t>
      </w:r>
      <w:r w:rsidRPr="009C4FEB">
        <w:rPr>
          <w:rFonts w:cs="Arial"/>
          <w:szCs w:val="20"/>
        </w:rPr>
        <w:tab/>
        <w:t xml:space="preserve">Cilj (2029) </w:t>
      </w:r>
      <w:r w:rsidRPr="009C4FEB">
        <w:rPr>
          <w:rFonts w:cs="Arial"/>
          <w:szCs w:val="20"/>
        </w:rPr>
        <w:tab/>
        <w:t>iz 63 na 64</w:t>
      </w:r>
    </w:p>
    <w:p w14:paraId="037F93CE" w14:textId="77777777" w:rsidR="00313C2B" w:rsidRPr="009C4FEB" w:rsidRDefault="00313C2B" w:rsidP="00313C2B">
      <w:pPr>
        <w:spacing w:after="0"/>
        <w:jc w:val="both"/>
        <w:rPr>
          <w:rFonts w:cs="Arial"/>
          <w:szCs w:val="20"/>
          <w:u w:val="single"/>
        </w:rPr>
      </w:pPr>
    </w:p>
    <w:p w14:paraId="50560706" w14:textId="146FD8F4" w:rsidR="00313C2B" w:rsidRPr="009C4FEB" w:rsidRDefault="00313C2B" w:rsidP="00313C2B">
      <w:pPr>
        <w:spacing w:after="0"/>
        <w:jc w:val="both"/>
        <w:rPr>
          <w:rFonts w:cs="Arial"/>
          <w:szCs w:val="20"/>
        </w:rPr>
      </w:pPr>
      <w:r w:rsidRPr="009C4FEB">
        <w:rPr>
          <w:rFonts w:cs="Arial"/>
          <w:szCs w:val="20"/>
          <w:u w:val="single"/>
        </w:rPr>
        <w:t>Obrazložitev</w:t>
      </w:r>
      <w:r w:rsidRPr="009C4FEB">
        <w:rPr>
          <w:rFonts w:cs="Arial"/>
          <w:szCs w:val="20"/>
        </w:rPr>
        <w:t>:</w:t>
      </w:r>
      <w:r w:rsidR="00076FA4">
        <w:rPr>
          <w:rFonts w:cs="Arial"/>
          <w:szCs w:val="20"/>
        </w:rPr>
        <w:t xml:space="preserve"> </w:t>
      </w:r>
      <w:r w:rsidR="007C435A">
        <w:rPr>
          <w:rFonts w:cs="Arial"/>
          <w:szCs w:val="20"/>
        </w:rPr>
        <w:t xml:space="preserve">Dodano </w:t>
      </w:r>
      <w:r w:rsidR="007C435A" w:rsidRPr="00083585">
        <w:rPr>
          <w:rFonts w:cs="Arial"/>
          <w:szCs w:val="20"/>
        </w:rPr>
        <w:t>Ministrstvo za delo, družino, socialne zadeve in enake možnosti (MDDSZ)</w:t>
      </w:r>
      <w:r w:rsidR="007C435A">
        <w:rPr>
          <w:rFonts w:cs="Arial"/>
          <w:szCs w:val="20"/>
        </w:rPr>
        <w:t>, saj bo upravičenec pri operaciji Posodobitev sistema socialnega varstva.</w:t>
      </w:r>
    </w:p>
    <w:p w14:paraId="0F584C12" w14:textId="77777777" w:rsidR="00313C2B" w:rsidRPr="009C4FEB" w:rsidRDefault="00313C2B" w:rsidP="00313C2B">
      <w:pPr>
        <w:spacing w:after="0"/>
        <w:jc w:val="both"/>
        <w:rPr>
          <w:rFonts w:cs="Arial"/>
          <w:szCs w:val="20"/>
        </w:rPr>
      </w:pPr>
    </w:p>
    <w:p w14:paraId="496B0EAD" w14:textId="77777777" w:rsidR="00313C2B" w:rsidRPr="00674726" w:rsidRDefault="00313C2B" w:rsidP="00674726">
      <w:pPr>
        <w:pStyle w:val="Naslov3"/>
        <w:numPr>
          <w:ilvl w:val="2"/>
          <w:numId w:val="2"/>
        </w:numPr>
        <w:rPr>
          <w:color w:val="4472C4" w:themeColor="accent1"/>
        </w:rPr>
      </w:pPr>
      <w:bookmarkStart w:id="199" w:name="_Toc191383880"/>
      <w:r w:rsidRPr="00674726">
        <w:rPr>
          <w:color w:val="4472C4" w:themeColor="accent1"/>
        </w:rPr>
        <w:t>ESO4.12. Spodbujanje socialnega vključevanja oseb, izpostavljenih tveganju revščine ali socialni izključenosti, vključno z najbolj ogroženimi osebami in otroki (ESS+)</w:t>
      </w:r>
      <w:bookmarkEnd w:id="199"/>
    </w:p>
    <w:p w14:paraId="2B1EEF45" w14:textId="77777777" w:rsidR="00313C2B" w:rsidRPr="00076FA4" w:rsidRDefault="00313C2B" w:rsidP="00313C2B">
      <w:pPr>
        <w:spacing w:after="0"/>
        <w:jc w:val="both"/>
        <w:rPr>
          <w:rFonts w:cs="Arial"/>
          <w:b/>
          <w:bCs/>
          <w:szCs w:val="20"/>
          <w:u w:val="single"/>
        </w:rPr>
      </w:pPr>
    </w:p>
    <w:p w14:paraId="5CCDFD89" w14:textId="77777777" w:rsidR="00313C2B" w:rsidRDefault="00313C2B" w:rsidP="00313C2B">
      <w:pPr>
        <w:numPr>
          <w:ilvl w:val="0"/>
          <w:numId w:val="30"/>
        </w:numPr>
        <w:spacing w:after="0"/>
        <w:contextualSpacing/>
        <w:jc w:val="both"/>
        <w:rPr>
          <w:rFonts w:cs="Arial"/>
          <w:b/>
          <w:bCs/>
          <w:szCs w:val="20"/>
          <w:u w:val="single"/>
        </w:rPr>
      </w:pPr>
      <w:r w:rsidRPr="00076FA4">
        <w:rPr>
          <w:rFonts w:cs="Arial"/>
          <w:b/>
          <w:bCs/>
          <w:szCs w:val="20"/>
          <w:u w:val="single"/>
        </w:rPr>
        <w:t>Sprememba opisa ukrepa</w:t>
      </w:r>
    </w:p>
    <w:p w14:paraId="557EBD63" w14:textId="77777777" w:rsidR="00C76CE4" w:rsidRPr="00076FA4" w:rsidRDefault="00C76CE4" w:rsidP="00C76CE4">
      <w:pPr>
        <w:spacing w:after="0"/>
        <w:contextualSpacing/>
        <w:jc w:val="both"/>
        <w:rPr>
          <w:rFonts w:cs="Arial"/>
          <w:b/>
          <w:bCs/>
          <w:szCs w:val="20"/>
          <w:u w:val="single"/>
        </w:rPr>
      </w:pPr>
    </w:p>
    <w:p w14:paraId="658457F2" w14:textId="77777777" w:rsidR="00313C2B" w:rsidRPr="009C4FEB" w:rsidRDefault="00313C2B" w:rsidP="00313C2B">
      <w:pPr>
        <w:spacing w:after="0"/>
        <w:jc w:val="both"/>
        <w:rPr>
          <w:rFonts w:cs="Arial"/>
          <w:szCs w:val="20"/>
        </w:rPr>
      </w:pPr>
      <w:r w:rsidRPr="009C4FEB">
        <w:rPr>
          <w:rFonts w:cs="Arial"/>
          <w:szCs w:val="20"/>
        </w:rPr>
        <w:t>»V okviru specifičnega cilja ESO4.12 bodo podprti ukrepi, ki bodo osredotočeni na: izvajanje različnih aktivnosti na področju zaprtih oseb in oseb v probaciji:</w:t>
      </w:r>
    </w:p>
    <w:p w14:paraId="212EBD53" w14:textId="26D5D046" w:rsidR="00313C2B" w:rsidRPr="00AF2F44" w:rsidRDefault="00313C2B" w:rsidP="00AF2F44">
      <w:pPr>
        <w:pStyle w:val="Odstavekseznama"/>
        <w:numPr>
          <w:ilvl w:val="0"/>
          <w:numId w:val="9"/>
        </w:numPr>
        <w:spacing w:after="0"/>
        <w:jc w:val="both"/>
        <w:rPr>
          <w:rFonts w:cs="Arial"/>
          <w:szCs w:val="20"/>
        </w:rPr>
      </w:pPr>
      <w:r w:rsidRPr="00AF2F44">
        <w:rPr>
          <w:rFonts w:cs="Arial"/>
          <w:szCs w:val="20"/>
        </w:rPr>
        <w:t>Razvoj delovnih kompetenc in razvoj specialnih programov za zaprte osebe, mladoletnike v prevzgojnem domu in osebe, vključene v probaciji, s ciljem večje socialne vključenosti: aktivnosti zajemajo razvoj in implementacijo modela za vključevanje zaprtih oseb z omejitvami za aktivno vključevanje v družbo, z nadgradnjo modela delovne terapije, s katerim se bo zaprtim osebam omogočilo postopno, ciljno usmerjeno, individualno prilagajanje delovnemu okolju, delovnim pogojem ter razvoj delovnih veščin, spretnosti, vzdržljivosti, kompetenc in resocializacijo ter vključevanje zaprtih oseb v delo med prestajanjem kazni zapora. Izboljšalo se bo komunikacijo s tujimi zaporniki, z namenom zmanjševanja osamitve in spodbujanja resocializacije in vključenosti državljanov tretjih držav. V okviru specialnih programov se bodo izvajale aktivnosti razvoja in izvajanja programov obravnave odvisnosti, obvladovanja jeze, nenasilne komunikacije, trening socialnih veščin, razvoj programov za povzročitelje nasilja v družini, povzročitelje spolnih deliktov in druge ozko specializirane obravnave za reševanje osebnostnih težav, zaradi katerih so osebe povzročile kazniva dejanja. Aktivnosti se bodo izvajale ne glede na spol ter rasno in spolno usmerjenost;«</w:t>
      </w:r>
    </w:p>
    <w:p w14:paraId="1921EDE6" w14:textId="77777777" w:rsidR="00313C2B" w:rsidRPr="009C4FEB" w:rsidRDefault="00313C2B" w:rsidP="00313C2B">
      <w:pPr>
        <w:spacing w:after="0"/>
        <w:jc w:val="both"/>
        <w:rPr>
          <w:rFonts w:cs="Arial"/>
          <w:szCs w:val="20"/>
        </w:rPr>
      </w:pPr>
    </w:p>
    <w:p w14:paraId="45B054BD" w14:textId="77777777" w:rsidR="00313C2B" w:rsidRPr="009C4FEB" w:rsidRDefault="00313C2B" w:rsidP="00313C2B">
      <w:pPr>
        <w:spacing w:after="0"/>
        <w:jc w:val="both"/>
        <w:rPr>
          <w:rFonts w:cs="Arial"/>
          <w:szCs w:val="20"/>
        </w:rPr>
      </w:pPr>
      <w:r w:rsidRPr="007E721F">
        <w:rPr>
          <w:rFonts w:cs="Arial"/>
          <w:szCs w:val="20"/>
        </w:rPr>
        <w:t>se spremeni v</w:t>
      </w:r>
    </w:p>
    <w:p w14:paraId="18AFBBBE" w14:textId="77777777" w:rsidR="00313C2B" w:rsidRPr="009C4FEB" w:rsidRDefault="00313C2B" w:rsidP="00313C2B">
      <w:pPr>
        <w:spacing w:after="0"/>
        <w:jc w:val="both"/>
        <w:rPr>
          <w:rFonts w:cs="Arial"/>
          <w:szCs w:val="20"/>
        </w:rPr>
      </w:pPr>
    </w:p>
    <w:p w14:paraId="28C21CC6" w14:textId="77777777" w:rsidR="00313C2B" w:rsidRPr="009C4FEB" w:rsidRDefault="00313C2B" w:rsidP="00313C2B">
      <w:pPr>
        <w:spacing w:after="0"/>
        <w:jc w:val="both"/>
        <w:rPr>
          <w:rFonts w:cs="Arial"/>
          <w:szCs w:val="20"/>
        </w:rPr>
      </w:pPr>
      <w:r w:rsidRPr="009C4FEB">
        <w:rPr>
          <w:rFonts w:cs="Arial"/>
          <w:szCs w:val="20"/>
        </w:rPr>
        <w:t>»V okviru specifičnega cilja ESO4.12 bodo podprti ukrepi, ki bodo osredotočeni na: izvajanje različnih aktivnosti na področju zaprtih oseb in oseb v probaciji ter mladoletnikov, ki so obravnavani pred državnim organom zaradi prepovedanih ravnanj:</w:t>
      </w:r>
    </w:p>
    <w:p w14:paraId="39D6ACF9" w14:textId="5E650D1E" w:rsidR="00313C2B" w:rsidRPr="00AF2F44" w:rsidRDefault="00313C2B" w:rsidP="00AF2F44">
      <w:pPr>
        <w:pStyle w:val="Odstavekseznama"/>
        <w:numPr>
          <w:ilvl w:val="0"/>
          <w:numId w:val="9"/>
        </w:numPr>
        <w:spacing w:after="0"/>
        <w:jc w:val="both"/>
        <w:rPr>
          <w:rFonts w:cs="Arial"/>
          <w:szCs w:val="20"/>
        </w:rPr>
      </w:pPr>
      <w:r w:rsidRPr="00AF2F44">
        <w:rPr>
          <w:rFonts w:cs="Arial"/>
          <w:szCs w:val="20"/>
        </w:rPr>
        <w:t xml:space="preserve">Razvoj delovnih kompetenc in razvoj specialnih programov za zaprte osebe, mladoletnike v prevzgojnem domu in osebe, vključene v probaciji, s ciljem večje socialne vključenosti: aktivnosti zajemajo razvoj in implementacijo modela za vključevanje zaprtih oseb z omejitvami za aktivno vključevanje v družbo, z nadgradnjo modela delovne terapije, s katerim se bo zaprtim osebam omogočilo postopno, ciljno usmerjeno, individualno prilagajanje delovnemu okolju, delovnim pogojem ter razvoj delovnih veščin, spretnosti, vzdržljivosti, kompetenc in resocializacijo ter vključevanje zaprtih oseb v delo med prestajanjem kazni zapora. Izboljšalo se bo komunikacijo s tujimi zaporniki, z namenom zmanjševanja osamitve in spodbujanja resocializacije in vključenosti državljanov tretjih držav. V okviru specialnih programov se bodo </w:t>
      </w:r>
      <w:r w:rsidRPr="00AF2F44">
        <w:rPr>
          <w:rFonts w:cs="Arial"/>
          <w:szCs w:val="20"/>
        </w:rPr>
        <w:lastRenderedPageBreak/>
        <w:t>izvajale aktivnosti razvoja in izvajanja programov obravnave odvisnosti, obvladovanja jeze, nenasilne komunikacije, trening socialnih veščin, razvoj programov za povzročitelje nasilja v družini, povzročitelje spolnih deliktov in druge ozko specializirane obravnave za reševanje osebnostnih težav, zaradi katerih so osebe povzročile kazniva dejanja. Pilotno se bo vzpostavil Center za mladoletnike s celovitim programom obravnave določenih kategorij mladoletnikov, ki so obravnavani pred državnim organom zaradi prepovedanih ravnanj. Aktivnosti se bodo izvajale ne glede na spol ter rasno in spolno usmerjenost.</w:t>
      </w:r>
    </w:p>
    <w:p w14:paraId="7BB6AC83" w14:textId="77777777" w:rsidR="00313C2B" w:rsidRPr="009C4FEB" w:rsidRDefault="00313C2B" w:rsidP="00313C2B">
      <w:pPr>
        <w:spacing w:after="0"/>
        <w:jc w:val="both"/>
        <w:rPr>
          <w:rFonts w:cs="Arial"/>
          <w:szCs w:val="20"/>
        </w:rPr>
      </w:pPr>
    </w:p>
    <w:p w14:paraId="3656A735" w14:textId="7D7A3209" w:rsidR="00313C2B" w:rsidRDefault="32EDAE70" w:rsidP="3ABF9D32">
      <w:pPr>
        <w:shd w:val="clear" w:color="auto" w:fill="FFFFFF" w:themeFill="background1"/>
        <w:spacing w:after="0" w:line="252" w:lineRule="auto"/>
        <w:jc w:val="both"/>
        <w:rPr>
          <w:rFonts w:eastAsia="Arial" w:cs="Arial"/>
        </w:rPr>
      </w:pPr>
      <w:r w:rsidRPr="005C2E67">
        <w:rPr>
          <w:rFonts w:eastAsia="Arial" w:cs="Arial"/>
          <w:color w:val="000000" w:themeColor="text1"/>
          <w:u w:val="single"/>
        </w:rPr>
        <w:t>Obrazložitev</w:t>
      </w:r>
      <w:r w:rsidRPr="005C2E67">
        <w:rPr>
          <w:rFonts w:eastAsia="Arial" w:cs="Arial"/>
          <w:color w:val="000000" w:themeColor="text1"/>
        </w:rPr>
        <w:t>: Na Ministrstvu za pravosodje načrtuje</w:t>
      </w:r>
      <w:r w:rsidR="3D84DF49" w:rsidRPr="005C2E67">
        <w:rPr>
          <w:rFonts w:eastAsia="Arial" w:cs="Arial"/>
          <w:color w:val="000000" w:themeColor="text1"/>
        </w:rPr>
        <w:t>jo</w:t>
      </w:r>
      <w:r w:rsidRPr="005C2E67">
        <w:rPr>
          <w:rFonts w:eastAsia="Arial" w:cs="Arial"/>
          <w:color w:val="000000" w:themeColor="text1"/>
        </w:rPr>
        <w:t xml:space="preserve"> nov projekt (NIO)</w:t>
      </w:r>
      <w:r w:rsidR="39E0544D" w:rsidRPr="005C2E67">
        <w:rPr>
          <w:rFonts w:eastAsia="Arial" w:cs="Arial"/>
          <w:color w:val="000000" w:themeColor="text1"/>
        </w:rPr>
        <w:t xml:space="preserve">, </w:t>
      </w:r>
      <w:r w:rsidRPr="005C2E67">
        <w:rPr>
          <w:rFonts w:eastAsia="Arial" w:cs="Arial"/>
          <w:color w:val="000000" w:themeColor="text1"/>
        </w:rPr>
        <w:t>da se bo v okviru javnega zavoda Hiša za otroke pilotno vzpostavil Center za mladoletnike s celovitim programom obravnave določenih kategorij mladoletnikov, ki so obravnavani pred državnim organom zaradi prepovedanih ravnanj. Projekt bi se izbral z neposredno potrditvijo operacije, saj ima podlago za to v Zakonu o kazenskem postopku (ZKP, 469. člen) in Zakonu o zaščiti otrok v kazenskem postopku in njihovi celostni obravnavi v hiši za otroke (ZZOKPOHO), na tako obravnavo pa napotujejo tudi Direktiva (EU) 2016/800 Evropskega parlamenta in Sveta EU z dne 11. maja 2016 o procesnih jamstvih za otroke, ki so osum</w:t>
      </w:r>
      <w:r w:rsidR="74775871" w:rsidRPr="005C2E67">
        <w:rPr>
          <w:rFonts w:eastAsia="Arial" w:cs="Arial"/>
          <w:color w:val="000000" w:themeColor="text1"/>
        </w:rPr>
        <w:t>l</w:t>
      </w:r>
      <w:r w:rsidR="4DAB2207" w:rsidRPr="005C2E67">
        <w:rPr>
          <w:rFonts w:eastAsia="Arial" w:cs="Arial"/>
          <w:color w:val="000000" w:themeColor="text1"/>
        </w:rPr>
        <w:t>j</w:t>
      </w:r>
      <w:r w:rsidRPr="005C2E67">
        <w:rPr>
          <w:rFonts w:eastAsia="Arial" w:cs="Arial"/>
          <w:color w:val="000000" w:themeColor="text1"/>
        </w:rPr>
        <w:t>ene ali obdolžene osebe v kazenskem postopku, Konvencija o otrokovih pravicah ter različne mednarodne študije in usmeritve.</w:t>
      </w:r>
      <w:r w:rsidR="1E8891A7" w:rsidRPr="005C2E67">
        <w:rPr>
          <w:rFonts w:eastAsia="Arial" w:cs="Arial"/>
          <w:color w:val="000000" w:themeColor="text1"/>
        </w:rPr>
        <w:t xml:space="preserve"> </w:t>
      </w:r>
      <w:r w:rsidRPr="005C2E67">
        <w:rPr>
          <w:rFonts w:eastAsia="Arial" w:cs="Arial"/>
        </w:rPr>
        <w:t xml:space="preserve">Pri projektu je načrtovano izvajanje projekta dveh upravičencev, Ministrstva za pravosodje (Direktorat za kaznovalno pravo in človekove pravice) in javnega zavoda Hiša za otroke. V sklopu načrtovanega projekta </w:t>
      </w:r>
      <w:r w:rsidR="3F0ACB4A" w:rsidRPr="005C2E67">
        <w:rPr>
          <w:rFonts w:eastAsia="Arial" w:cs="Arial"/>
          <w:color w:val="000000" w:themeColor="text1"/>
        </w:rPr>
        <w:t>se bo spremljal</w:t>
      </w:r>
      <w:r w:rsidRPr="005C2E67">
        <w:rPr>
          <w:rFonts w:eastAsia="Arial" w:cs="Arial"/>
        </w:rPr>
        <w:t xml:space="preserve"> kazalnik Število posameznikov, vključenih v projekte spodbujanja socialnega vključevanja. S celovito obravnavo določenih kategorij mladoletnikov, ki so obravnavani pred državnim organom zaradi prepovedanih ravnanj, vključno z izdelavo ocene tveganja in potreb,</w:t>
      </w:r>
      <w:r w:rsidR="74183801" w:rsidRPr="005C2E67">
        <w:rPr>
          <w:rFonts w:eastAsia="Arial" w:cs="Arial"/>
        </w:rPr>
        <w:t xml:space="preserve"> se bo</w:t>
      </w:r>
      <w:r w:rsidRPr="005C2E67">
        <w:rPr>
          <w:rFonts w:eastAsia="Arial" w:cs="Arial"/>
        </w:rPr>
        <w:t xml:space="preserve"> lahko bolje ocenil in obravnaval njihov individualen položaj in posebne potrebe ter tako bolje prilagodi</w:t>
      </w:r>
      <w:r w:rsidR="7F595731" w:rsidRPr="005C2E67">
        <w:rPr>
          <w:rFonts w:eastAsia="Arial" w:cs="Arial"/>
        </w:rPr>
        <w:t>lo</w:t>
      </w:r>
      <w:r w:rsidRPr="005C2E67">
        <w:rPr>
          <w:rFonts w:eastAsia="Arial" w:cs="Arial"/>
        </w:rPr>
        <w:t xml:space="preserve"> ukrepe in/ali kazenske sankcije. Ustrezna obravnava mladih z zapletenimi težavami močno koristi rehabilitaciji in s tem podpre njihovo socialno vključevanje</w:t>
      </w:r>
      <w:r w:rsidRPr="09E16301">
        <w:rPr>
          <w:rFonts w:eastAsia="Arial" w:cs="Arial"/>
        </w:rPr>
        <w:t xml:space="preserve"> v zelo ranljivem obdobju v življenju.</w:t>
      </w:r>
    </w:p>
    <w:p w14:paraId="250EBBC9" w14:textId="77777777" w:rsidR="00313C2B" w:rsidRPr="009C4FEB" w:rsidRDefault="00313C2B" w:rsidP="3ABF9D32">
      <w:pPr>
        <w:spacing w:after="0"/>
        <w:jc w:val="both"/>
        <w:rPr>
          <w:rFonts w:cs="Arial"/>
          <w:szCs w:val="20"/>
        </w:rPr>
      </w:pPr>
    </w:p>
    <w:p w14:paraId="4146E443" w14:textId="77777777" w:rsidR="00313C2B" w:rsidRPr="009469ED" w:rsidRDefault="00313C2B" w:rsidP="00313C2B">
      <w:pPr>
        <w:numPr>
          <w:ilvl w:val="0"/>
          <w:numId w:val="30"/>
        </w:numPr>
        <w:spacing w:after="0"/>
        <w:contextualSpacing/>
        <w:jc w:val="both"/>
        <w:rPr>
          <w:rFonts w:cs="Arial"/>
          <w:b/>
          <w:bCs/>
          <w:szCs w:val="20"/>
          <w:u w:val="single"/>
        </w:rPr>
      </w:pPr>
      <w:r w:rsidRPr="009469ED">
        <w:rPr>
          <w:rFonts w:cs="Arial"/>
          <w:b/>
          <w:bCs/>
          <w:szCs w:val="20"/>
          <w:u w:val="single"/>
        </w:rPr>
        <w:t>Opis spremembe ciljne skupine</w:t>
      </w:r>
    </w:p>
    <w:p w14:paraId="57AFBACD" w14:textId="77777777" w:rsidR="00313C2B" w:rsidRDefault="00313C2B" w:rsidP="00313C2B">
      <w:pPr>
        <w:spacing w:after="0"/>
        <w:jc w:val="both"/>
        <w:rPr>
          <w:rFonts w:cs="Arial"/>
          <w:szCs w:val="20"/>
        </w:rPr>
      </w:pPr>
      <w:r w:rsidRPr="009C4FEB">
        <w:rPr>
          <w:rFonts w:cs="Arial"/>
          <w:szCs w:val="20"/>
        </w:rPr>
        <w:t>Ciljne skupine so v PEKP ustrezno zapisane, saj gre v predlaganem projektu za mlade, ki tvegajo socialno izključenost, med njimi so tudi mladi s posebnimi potrebami, migranti, begunci in romski mladoletniki.</w:t>
      </w:r>
    </w:p>
    <w:p w14:paraId="205EB6E7" w14:textId="77777777" w:rsidR="00AF2F44" w:rsidRPr="009C4FEB" w:rsidRDefault="00AF2F44" w:rsidP="00313C2B">
      <w:pPr>
        <w:spacing w:after="0"/>
        <w:jc w:val="both"/>
        <w:rPr>
          <w:rFonts w:cs="Arial"/>
          <w:szCs w:val="20"/>
        </w:rPr>
      </w:pPr>
    </w:p>
    <w:p w14:paraId="0B9E29DC" w14:textId="77777777" w:rsidR="00313C2B" w:rsidRPr="009C4FEB" w:rsidRDefault="00313C2B" w:rsidP="00313C2B">
      <w:pPr>
        <w:spacing w:after="0"/>
        <w:jc w:val="both"/>
        <w:rPr>
          <w:rFonts w:asciiTheme="minorHAnsi" w:hAnsiTheme="minorHAnsi"/>
          <w:sz w:val="22"/>
        </w:rPr>
      </w:pPr>
      <w:r w:rsidRPr="009C4FEB">
        <w:rPr>
          <w:rFonts w:cs="Arial"/>
          <w:szCs w:val="20"/>
        </w:rPr>
        <w:t>K razdelku Upravičenci se doda nova skupina: organi državne uprave</w:t>
      </w:r>
      <w:r w:rsidRPr="009C4FEB">
        <w:rPr>
          <w:rFonts w:asciiTheme="minorHAnsi" w:hAnsiTheme="minorHAnsi"/>
          <w:sz w:val="22"/>
        </w:rPr>
        <w:t>.</w:t>
      </w:r>
    </w:p>
    <w:p w14:paraId="280922B6" w14:textId="77777777" w:rsidR="00A0677D" w:rsidRPr="00C13D02" w:rsidRDefault="00A0677D" w:rsidP="00E016AD">
      <w:pPr>
        <w:pStyle w:val="Brezrazmikov"/>
        <w:jc w:val="both"/>
      </w:pPr>
    </w:p>
    <w:p w14:paraId="36931ADB" w14:textId="19251868" w:rsidR="002E1975" w:rsidRPr="002E1975" w:rsidRDefault="002E1975" w:rsidP="00446D40">
      <w:pPr>
        <w:pStyle w:val="Naslov2"/>
        <w:numPr>
          <w:ilvl w:val="1"/>
          <w:numId w:val="2"/>
        </w:numPr>
      </w:pPr>
      <w:bookmarkStart w:id="200" w:name="_Toc187154482"/>
      <w:bookmarkStart w:id="201" w:name="_Toc191383881"/>
      <w:r w:rsidRPr="002E1975">
        <w:t xml:space="preserve">Cilji </w:t>
      </w:r>
      <w:r w:rsidR="007A2C83" w:rsidRPr="002E1975">
        <w:t>politike</w:t>
      </w:r>
      <w:r w:rsidRPr="002E1975">
        <w:t xml:space="preserve"> 6: SPP Specifični cilj Sklada za pravični prehod: Slovenija za pravični prehod</w:t>
      </w:r>
      <w:bookmarkEnd w:id="200"/>
      <w:bookmarkEnd w:id="201"/>
    </w:p>
    <w:p w14:paraId="447A1275" w14:textId="77777777" w:rsidR="002E1975" w:rsidRPr="002E1975" w:rsidRDefault="002E1975" w:rsidP="002E1975">
      <w:pPr>
        <w:autoSpaceDE w:val="0"/>
        <w:autoSpaceDN w:val="0"/>
        <w:adjustRightInd w:val="0"/>
        <w:spacing w:after="0" w:line="240" w:lineRule="auto"/>
        <w:jc w:val="both"/>
        <w:rPr>
          <w:rFonts w:cstheme="minorHAnsi"/>
          <w:b/>
          <w:bCs/>
          <w:kern w:val="0"/>
        </w:rPr>
      </w:pPr>
    </w:p>
    <w:p w14:paraId="1A22F69C" w14:textId="77777777" w:rsidR="002E1975" w:rsidRPr="002E1975" w:rsidRDefault="002E1975" w:rsidP="002E1975">
      <w:pPr>
        <w:autoSpaceDE w:val="0"/>
        <w:autoSpaceDN w:val="0"/>
        <w:adjustRightInd w:val="0"/>
        <w:spacing w:after="0" w:line="240" w:lineRule="auto"/>
        <w:jc w:val="both"/>
        <w:rPr>
          <w:rFonts w:cstheme="minorHAnsi"/>
          <w:b/>
          <w:bCs/>
          <w:kern w:val="0"/>
        </w:rPr>
      </w:pPr>
      <w:r w:rsidRPr="002E1975">
        <w:rPr>
          <w:rFonts w:cstheme="minorHAnsi"/>
          <w:b/>
          <w:bCs/>
          <w:kern w:val="0"/>
        </w:rPr>
        <w:t xml:space="preserve">JSO8.1 Omogočanje regijam in ljudem, da obravnavajo socialne, zaposlitvene, gospodarske in </w:t>
      </w:r>
      <w:proofErr w:type="spellStart"/>
      <w:r w:rsidRPr="002E1975">
        <w:rPr>
          <w:rFonts w:cstheme="minorHAnsi"/>
          <w:b/>
          <w:bCs/>
          <w:kern w:val="0"/>
        </w:rPr>
        <w:t>okoljske</w:t>
      </w:r>
      <w:proofErr w:type="spellEnd"/>
      <w:r w:rsidRPr="002E1975">
        <w:rPr>
          <w:rFonts w:cstheme="minorHAnsi"/>
          <w:b/>
          <w:bCs/>
          <w:kern w:val="0"/>
        </w:rPr>
        <w:t xml:space="preserve"> učinke, ki jih ima prehod na energetske in podnebne cilje Unije do leta 2030 in na podnebno nevtralno gospodarstvo Unije do leta 2050 na podlagi Pariškega sporazuma (SPP)</w:t>
      </w:r>
      <w:r w:rsidRPr="002E1975">
        <w:rPr>
          <w:rFonts w:cstheme="minorHAnsi"/>
          <w:b/>
          <w:bCs/>
          <w:kern w:val="0"/>
        </w:rPr>
        <w:cr/>
      </w:r>
    </w:p>
    <w:p w14:paraId="4A5B8BEC" w14:textId="65D97D63" w:rsidR="002E1975" w:rsidRPr="003345C5" w:rsidRDefault="002E1975" w:rsidP="00446D40">
      <w:pPr>
        <w:pStyle w:val="Naslov3"/>
        <w:numPr>
          <w:ilvl w:val="2"/>
          <w:numId w:val="2"/>
        </w:numPr>
        <w:rPr>
          <w:color w:val="4472C4" w:themeColor="accent1"/>
        </w:rPr>
      </w:pPr>
      <w:bookmarkStart w:id="202" w:name="_Toc187145495"/>
      <w:bookmarkStart w:id="203" w:name="_Toc187148860"/>
      <w:bookmarkStart w:id="204" w:name="_Toc187150263"/>
      <w:bookmarkStart w:id="205" w:name="_Toc187150521"/>
      <w:bookmarkStart w:id="206" w:name="_Toc187150608"/>
      <w:bookmarkStart w:id="207" w:name="_Toc187151291"/>
      <w:bookmarkStart w:id="208" w:name="_Toc187151431"/>
      <w:bookmarkStart w:id="209" w:name="_Toc187151552"/>
      <w:bookmarkStart w:id="210" w:name="_Toc187151687"/>
      <w:bookmarkStart w:id="211" w:name="_Toc187151900"/>
      <w:bookmarkStart w:id="212" w:name="_Toc187152836"/>
      <w:bookmarkStart w:id="213" w:name="_Toc187154484"/>
      <w:bookmarkStart w:id="214" w:name="_Toc191383882"/>
      <w:bookmarkEnd w:id="202"/>
      <w:bookmarkEnd w:id="203"/>
      <w:bookmarkEnd w:id="204"/>
      <w:bookmarkEnd w:id="205"/>
      <w:bookmarkEnd w:id="206"/>
      <w:bookmarkEnd w:id="207"/>
      <w:bookmarkEnd w:id="208"/>
      <w:bookmarkEnd w:id="209"/>
      <w:bookmarkEnd w:id="210"/>
      <w:bookmarkEnd w:id="211"/>
      <w:bookmarkEnd w:id="212"/>
      <w:r w:rsidRPr="003345C5">
        <w:rPr>
          <w:color w:val="4472C4" w:themeColor="accent1"/>
        </w:rPr>
        <w:t>PT: MVZI</w:t>
      </w:r>
      <w:bookmarkEnd w:id="213"/>
      <w:bookmarkEnd w:id="214"/>
    </w:p>
    <w:p w14:paraId="3513C0FD" w14:textId="77777777" w:rsidR="002E1975" w:rsidRPr="002E1975" w:rsidRDefault="002E1975" w:rsidP="002E1975">
      <w:pPr>
        <w:autoSpaceDE w:val="0"/>
        <w:autoSpaceDN w:val="0"/>
        <w:adjustRightInd w:val="0"/>
        <w:spacing w:after="0" w:line="240" w:lineRule="auto"/>
        <w:jc w:val="both"/>
        <w:rPr>
          <w:rFonts w:cstheme="minorHAnsi"/>
          <w:b/>
          <w:bCs/>
          <w:kern w:val="0"/>
        </w:rPr>
      </w:pPr>
    </w:p>
    <w:p w14:paraId="51DF8519" w14:textId="7C7D0EFC" w:rsidR="002E1975" w:rsidRPr="002E1975" w:rsidRDefault="002E1975" w:rsidP="002E1975">
      <w:pPr>
        <w:autoSpaceDE w:val="0"/>
        <w:autoSpaceDN w:val="0"/>
        <w:adjustRightInd w:val="0"/>
        <w:spacing w:after="0" w:line="240" w:lineRule="auto"/>
        <w:jc w:val="both"/>
        <w:rPr>
          <w:rFonts w:cstheme="minorHAnsi"/>
          <w:b/>
          <w:bCs/>
          <w:kern w:val="0"/>
          <w:u w:val="single"/>
        </w:rPr>
      </w:pPr>
      <w:r w:rsidRPr="002E1975">
        <w:rPr>
          <w:rFonts w:cstheme="minorHAnsi"/>
          <w:b/>
          <w:bCs/>
          <w:kern w:val="0"/>
          <w:u w:val="single"/>
        </w:rPr>
        <w:t>Sprememba kazalnikov rezultata</w:t>
      </w:r>
    </w:p>
    <w:p w14:paraId="6FCB30A7" w14:textId="77777777" w:rsidR="002E1975" w:rsidRPr="002E1975" w:rsidRDefault="002E1975" w:rsidP="002E1975">
      <w:pPr>
        <w:autoSpaceDE w:val="0"/>
        <w:autoSpaceDN w:val="0"/>
        <w:adjustRightInd w:val="0"/>
        <w:spacing w:after="0" w:line="240" w:lineRule="auto"/>
        <w:jc w:val="both"/>
        <w:rPr>
          <w:rFonts w:cstheme="minorHAnsi"/>
          <w:kern w:val="0"/>
        </w:rPr>
      </w:pPr>
    </w:p>
    <w:p w14:paraId="61167200" w14:textId="10A21B79" w:rsidR="002E1975" w:rsidRPr="002E1975" w:rsidRDefault="002A5C88" w:rsidP="002E1975">
      <w:pPr>
        <w:autoSpaceDE w:val="0"/>
        <w:autoSpaceDN w:val="0"/>
        <w:adjustRightInd w:val="0"/>
        <w:spacing w:after="0" w:line="240" w:lineRule="auto"/>
        <w:jc w:val="both"/>
        <w:rPr>
          <w:rFonts w:cstheme="minorHAnsi"/>
          <w:kern w:val="0"/>
        </w:rPr>
      </w:pPr>
      <w:r>
        <w:rPr>
          <w:rFonts w:cstheme="minorHAnsi"/>
          <w:kern w:val="0"/>
        </w:rPr>
        <w:t>K</w:t>
      </w:r>
      <w:r w:rsidR="002E1975" w:rsidRPr="002E1975">
        <w:rPr>
          <w:rFonts w:cstheme="minorHAnsi"/>
          <w:kern w:val="0"/>
        </w:rPr>
        <w:t xml:space="preserve">azalnik rezultata </w:t>
      </w:r>
      <w:r w:rsidR="002E1975" w:rsidRPr="002E1975">
        <w:rPr>
          <w:rFonts w:cstheme="minorHAnsi"/>
          <w:b/>
          <w:bCs/>
          <w:kern w:val="0"/>
        </w:rPr>
        <w:t>RCR 01</w:t>
      </w:r>
      <w:r w:rsidR="002E1975" w:rsidRPr="002E1975">
        <w:rPr>
          <w:rFonts w:cstheme="minorHAnsi"/>
          <w:kern w:val="0"/>
        </w:rPr>
        <w:t xml:space="preserve"> se razdeli tako, da del vrednosti </w:t>
      </w:r>
      <w:r w:rsidR="002E1975" w:rsidRPr="002E1975">
        <w:rPr>
          <w:rFonts w:cstheme="minorHAnsi"/>
          <w:b/>
          <w:bCs/>
          <w:kern w:val="0"/>
        </w:rPr>
        <w:t>ostane na RCR 01</w:t>
      </w:r>
      <w:r>
        <w:rPr>
          <w:rFonts w:cstheme="minorHAnsi"/>
          <w:b/>
          <w:bCs/>
          <w:kern w:val="0"/>
        </w:rPr>
        <w:t xml:space="preserve"> (ciljna vrednost omenjenega kazalnika se iz 395 zmanjša na 378)</w:t>
      </w:r>
      <w:r w:rsidR="002E1975" w:rsidRPr="002E1975">
        <w:rPr>
          <w:rFonts w:cstheme="minorHAnsi"/>
          <w:b/>
          <w:bCs/>
          <w:kern w:val="0"/>
        </w:rPr>
        <w:t xml:space="preserve">, del pa se vključi v nov kazalnik to je RCR 102 </w:t>
      </w:r>
      <w:r w:rsidR="002E1975" w:rsidRPr="002E1975">
        <w:rPr>
          <w:rFonts w:cstheme="minorHAnsi"/>
          <w:kern w:val="0"/>
        </w:rPr>
        <w:t>(Raziskovalna delovna mesta, ustvarjena v subjektih, ki so prejela podporo)</w:t>
      </w:r>
      <w:r>
        <w:rPr>
          <w:rFonts w:cstheme="minorHAnsi"/>
          <w:kern w:val="0"/>
        </w:rPr>
        <w:t xml:space="preserve"> (ciljna vrednost 17)</w:t>
      </w:r>
      <w:r w:rsidR="002E1975" w:rsidRPr="002E1975">
        <w:rPr>
          <w:rFonts w:cstheme="minorHAnsi"/>
          <w:kern w:val="0"/>
        </w:rPr>
        <w:t>.</w:t>
      </w:r>
    </w:p>
    <w:p w14:paraId="3520433E" w14:textId="77777777" w:rsidR="002E1975" w:rsidRPr="002E1975" w:rsidRDefault="002E1975" w:rsidP="002E1975">
      <w:pPr>
        <w:autoSpaceDE w:val="0"/>
        <w:autoSpaceDN w:val="0"/>
        <w:adjustRightInd w:val="0"/>
        <w:spacing w:after="0" w:line="240" w:lineRule="auto"/>
        <w:jc w:val="both"/>
        <w:rPr>
          <w:rFonts w:cstheme="minorHAnsi"/>
          <w:kern w:val="0"/>
        </w:rPr>
      </w:pPr>
    </w:p>
    <w:p w14:paraId="31C061D0" w14:textId="67A76F6E" w:rsidR="002E1975" w:rsidRDefault="002E1975" w:rsidP="002E1975">
      <w:pPr>
        <w:autoSpaceDE w:val="0"/>
        <w:autoSpaceDN w:val="0"/>
        <w:adjustRightInd w:val="0"/>
        <w:spacing w:after="0" w:line="240" w:lineRule="auto"/>
        <w:jc w:val="both"/>
        <w:rPr>
          <w:rFonts w:cstheme="minorHAnsi"/>
          <w:kern w:val="0"/>
        </w:rPr>
      </w:pPr>
      <w:r w:rsidRPr="002E1975">
        <w:rPr>
          <w:rFonts w:cstheme="minorHAnsi"/>
          <w:kern w:val="0"/>
          <w:u w:val="single"/>
        </w:rPr>
        <w:t>Obrazložitev</w:t>
      </w:r>
      <w:r w:rsidRPr="002E1975">
        <w:rPr>
          <w:rFonts w:cstheme="minorHAnsi"/>
          <w:kern w:val="0"/>
        </w:rPr>
        <w:t xml:space="preserve">: Ob potrditvi programa 2021–2027 je bila izbira kazalnika rezultata RCR 01 (Ustvarjena delovna mesta v subjektih, ki so prejela podporo) nenatančna, saj se morajo skladno z Evropskimi smernicami (COMMISSION STAFF WORKING DOCUMENT, </w:t>
      </w:r>
      <w:proofErr w:type="spellStart"/>
      <w:r w:rsidRPr="002E1975">
        <w:rPr>
          <w:rFonts w:cstheme="minorHAnsi"/>
          <w:kern w:val="0"/>
        </w:rPr>
        <w:t>Performance</w:t>
      </w:r>
      <w:proofErr w:type="spellEnd"/>
      <w:r w:rsidRPr="002E1975">
        <w:rPr>
          <w:rFonts w:cstheme="minorHAnsi"/>
          <w:kern w:val="0"/>
        </w:rPr>
        <w:t xml:space="preserve">, monitoring </w:t>
      </w:r>
      <w:proofErr w:type="spellStart"/>
      <w:r w:rsidRPr="002E1975">
        <w:rPr>
          <w:rFonts w:cstheme="minorHAnsi"/>
          <w:kern w:val="0"/>
        </w:rPr>
        <w:t>and</w:t>
      </w:r>
      <w:proofErr w:type="spellEnd"/>
      <w:r w:rsidRPr="002E1975">
        <w:rPr>
          <w:rFonts w:cstheme="minorHAnsi"/>
          <w:kern w:val="0"/>
        </w:rPr>
        <w:t xml:space="preserve"> </w:t>
      </w:r>
      <w:proofErr w:type="spellStart"/>
      <w:r w:rsidRPr="002E1975">
        <w:rPr>
          <w:rFonts w:cstheme="minorHAnsi"/>
          <w:kern w:val="0"/>
        </w:rPr>
        <w:t>evaluation</w:t>
      </w:r>
      <w:proofErr w:type="spellEnd"/>
      <w:r w:rsidRPr="002E1975">
        <w:rPr>
          <w:rFonts w:cstheme="minorHAnsi"/>
          <w:kern w:val="0"/>
        </w:rPr>
        <w:t xml:space="preserve"> </w:t>
      </w:r>
      <w:proofErr w:type="spellStart"/>
      <w:r w:rsidRPr="002E1975">
        <w:rPr>
          <w:rFonts w:cstheme="minorHAnsi"/>
          <w:kern w:val="0"/>
        </w:rPr>
        <w:t>of</w:t>
      </w:r>
      <w:proofErr w:type="spellEnd"/>
      <w:r w:rsidRPr="002E1975">
        <w:rPr>
          <w:rFonts w:cstheme="minorHAnsi"/>
          <w:kern w:val="0"/>
        </w:rPr>
        <w:t xml:space="preserve"> </w:t>
      </w:r>
      <w:proofErr w:type="spellStart"/>
      <w:r w:rsidRPr="002E1975">
        <w:rPr>
          <w:rFonts w:cstheme="minorHAnsi"/>
          <w:kern w:val="0"/>
        </w:rPr>
        <w:t>the</w:t>
      </w:r>
      <w:proofErr w:type="spellEnd"/>
      <w:r w:rsidRPr="002E1975">
        <w:rPr>
          <w:rFonts w:cstheme="minorHAnsi"/>
          <w:kern w:val="0"/>
        </w:rPr>
        <w:t xml:space="preserve"> </w:t>
      </w:r>
      <w:proofErr w:type="spellStart"/>
      <w:r w:rsidRPr="002E1975">
        <w:rPr>
          <w:rFonts w:cstheme="minorHAnsi"/>
          <w:kern w:val="0"/>
        </w:rPr>
        <w:t>European</w:t>
      </w:r>
      <w:proofErr w:type="spellEnd"/>
      <w:r w:rsidRPr="002E1975">
        <w:rPr>
          <w:rFonts w:cstheme="minorHAnsi"/>
          <w:kern w:val="0"/>
        </w:rPr>
        <w:t xml:space="preserve"> </w:t>
      </w:r>
      <w:proofErr w:type="spellStart"/>
      <w:r w:rsidRPr="002E1975">
        <w:rPr>
          <w:rFonts w:cstheme="minorHAnsi"/>
          <w:kern w:val="0"/>
        </w:rPr>
        <w:t>Regional</w:t>
      </w:r>
      <w:proofErr w:type="spellEnd"/>
      <w:r w:rsidRPr="002E1975">
        <w:rPr>
          <w:rFonts w:cstheme="minorHAnsi"/>
          <w:kern w:val="0"/>
        </w:rPr>
        <w:t xml:space="preserve"> </w:t>
      </w:r>
      <w:proofErr w:type="spellStart"/>
      <w:r w:rsidRPr="002E1975">
        <w:rPr>
          <w:rFonts w:cstheme="minorHAnsi"/>
          <w:kern w:val="0"/>
        </w:rPr>
        <w:t>Development</w:t>
      </w:r>
      <w:proofErr w:type="spellEnd"/>
      <w:r w:rsidRPr="002E1975">
        <w:rPr>
          <w:rFonts w:cstheme="minorHAnsi"/>
          <w:kern w:val="0"/>
        </w:rPr>
        <w:t xml:space="preserve"> </w:t>
      </w:r>
      <w:proofErr w:type="spellStart"/>
      <w:r w:rsidRPr="002E1975">
        <w:rPr>
          <w:rFonts w:cstheme="minorHAnsi"/>
          <w:kern w:val="0"/>
        </w:rPr>
        <w:t>Fund,the</w:t>
      </w:r>
      <w:proofErr w:type="spellEnd"/>
      <w:r w:rsidRPr="002E1975">
        <w:rPr>
          <w:rFonts w:cstheme="minorHAnsi"/>
          <w:kern w:val="0"/>
        </w:rPr>
        <w:t xml:space="preserve"> </w:t>
      </w:r>
      <w:proofErr w:type="spellStart"/>
      <w:r w:rsidRPr="002E1975">
        <w:rPr>
          <w:rFonts w:cstheme="minorHAnsi"/>
          <w:kern w:val="0"/>
        </w:rPr>
        <w:t>Cohesion</w:t>
      </w:r>
      <w:proofErr w:type="spellEnd"/>
      <w:r w:rsidRPr="002E1975">
        <w:rPr>
          <w:rFonts w:cstheme="minorHAnsi"/>
          <w:kern w:val="0"/>
        </w:rPr>
        <w:t xml:space="preserve"> Fund </w:t>
      </w:r>
      <w:proofErr w:type="spellStart"/>
      <w:r w:rsidRPr="002E1975">
        <w:rPr>
          <w:rFonts w:cstheme="minorHAnsi"/>
          <w:kern w:val="0"/>
        </w:rPr>
        <w:t>and</w:t>
      </w:r>
      <w:proofErr w:type="spellEnd"/>
      <w:r w:rsidRPr="002E1975">
        <w:rPr>
          <w:rFonts w:cstheme="minorHAnsi"/>
          <w:kern w:val="0"/>
        </w:rPr>
        <w:t xml:space="preserve"> </w:t>
      </w:r>
      <w:proofErr w:type="spellStart"/>
      <w:r w:rsidRPr="002E1975">
        <w:rPr>
          <w:rFonts w:cstheme="minorHAnsi"/>
          <w:kern w:val="0"/>
        </w:rPr>
        <w:t>the</w:t>
      </w:r>
      <w:proofErr w:type="spellEnd"/>
      <w:r w:rsidRPr="002E1975">
        <w:rPr>
          <w:rFonts w:cstheme="minorHAnsi"/>
          <w:kern w:val="0"/>
        </w:rPr>
        <w:t xml:space="preserve"> Just </w:t>
      </w:r>
      <w:proofErr w:type="spellStart"/>
      <w:r w:rsidRPr="002E1975">
        <w:rPr>
          <w:rFonts w:cstheme="minorHAnsi"/>
          <w:kern w:val="0"/>
        </w:rPr>
        <w:t>Transition</w:t>
      </w:r>
      <w:proofErr w:type="spellEnd"/>
      <w:r w:rsidRPr="002E1975">
        <w:rPr>
          <w:rFonts w:cstheme="minorHAnsi"/>
          <w:kern w:val="0"/>
        </w:rPr>
        <w:t xml:space="preserve"> Fund in 2021</w:t>
      </w:r>
      <w:r w:rsidR="009E770A" w:rsidRPr="009E770A">
        <w:rPr>
          <w:rFonts w:cstheme="minorHAnsi"/>
          <w:kern w:val="0"/>
        </w:rPr>
        <w:t>–</w:t>
      </w:r>
      <w:r w:rsidRPr="002E1975">
        <w:rPr>
          <w:rFonts w:cstheme="minorHAnsi"/>
          <w:kern w:val="0"/>
        </w:rPr>
        <w:t xml:space="preserve">-2027 SWD (2021)198 </w:t>
      </w:r>
      <w:proofErr w:type="spellStart"/>
      <w:r w:rsidRPr="002E1975">
        <w:rPr>
          <w:rFonts w:cstheme="minorHAnsi"/>
          <w:kern w:val="0"/>
        </w:rPr>
        <w:t>final</w:t>
      </w:r>
      <w:proofErr w:type="spellEnd"/>
      <w:r w:rsidRPr="002E1975">
        <w:rPr>
          <w:rFonts w:cstheme="minorHAnsi"/>
          <w:kern w:val="0"/>
        </w:rPr>
        <w:t>, Bruselj 8. 7. 2021) raziskovalna delovna mesta šteti v kazalnik RCR 102 (Raziskovalna delovna mesta, ustvarjena v subjektih, ki so prejela podporo).</w:t>
      </w:r>
    </w:p>
    <w:p w14:paraId="1D54213B" w14:textId="71CA7D12" w:rsidR="00986929" w:rsidRDefault="00986929" w:rsidP="00C12E77">
      <w:pPr>
        <w:spacing w:after="0" w:line="240" w:lineRule="auto"/>
        <w:jc w:val="both"/>
      </w:pPr>
    </w:p>
    <w:p w14:paraId="3D49F64C" w14:textId="77777777" w:rsidR="00C76CE4" w:rsidRDefault="00C76CE4" w:rsidP="00C12E77">
      <w:pPr>
        <w:spacing w:after="0" w:line="240" w:lineRule="auto"/>
        <w:jc w:val="both"/>
      </w:pPr>
    </w:p>
    <w:p w14:paraId="4AD11227" w14:textId="77777777" w:rsidR="00C76CE4" w:rsidRDefault="00C76CE4" w:rsidP="00C12E77">
      <w:pPr>
        <w:spacing w:after="0" w:line="240" w:lineRule="auto"/>
        <w:jc w:val="both"/>
      </w:pPr>
    </w:p>
    <w:p w14:paraId="2DFC8FDF" w14:textId="5BF7AB00" w:rsidR="002E1975" w:rsidRDefault="002E1975" w:rsidP="00C12E77">
      <w:pPr>
        <w:pStyle w:val="Naslov3"/>
        <w:numPr>
          <w:ilvl w:val="2"/>
          <w:numId w:val="2"/>
        </w:numPr>
        <w:rPr>
          <w:color w:val="4472C4" w:themeColor="accent1"/>
        </w:rPr>
      </w:pPr>
      <w:bookmarkStart w:id="215" w:name="_Toc191383883"/>
      <w:bookmarkStart w:id="216" w:name="_Toc187154486"/>
      <w:bookmarkStart w:id="217" w:name="_Hlk190237343"/>
      <w:r w:rsidRPr="00F64527">
        <w:rPr>
          <w:color w:val="4472C4" w:themeColor="accent1"/>
        </w:rPr>
        <w:lastRenderedPageBreak/>
        <w:t>PT: MVI</w:t>
      </w:r>
      <w:bookmarkEnd w:id="215"/>
      <w:r w:rsidRPr="00F64527">
        <w:rPr>
          <w:color w:val="4472C4" w:themeColor="accent1"/>
        </w:rPr>
        <w:t xml:space="preserve"> </w:t>
      </w:r>
      <w:bookmarkEnd w:id="216"/>
    </w:p>
    <w:bookmarkEnd w:id="217"/>
    <w:p w14:paraId="2EF3C36F" w14:textId="77777777" w:rsidR="00751E57" w:rsidRDefault="00751E57" w:rsidP="00C12E77">
      <w:pPr>
        <w:spacing w:after="0"/>
        <w:jc w:val="both"/>
      </w:pPr>
    </w:p>
    <w:p w14:paraId="650DEF94" w14:textId="77777777" w:rsidR="00986929" w:rsidRPr="000B3E1A" w:rsidRDefault="00986929" w:rsidP="00C12E77">
      <w:pPr>
        <w:spacing w:after="0"/>
        <w:jc w:val="both"/>
        <w:rPr>
          <w:b/>
          <w:u w:val="single"/>
        </w:rPr>
      </w:pPr>
    </w:p>
    <w:p w14:paraId="6C934FB9" w14:textId="77777777" w:rsidR="0001469E" w:rsidRPr="0001469E" w:rsidRDefault="0001469E" w:rsidP="00C12E77">
      <w:pPr>
        <w:jc w:val="both"/>
        <w:rPr>
          <w:b/>
          <w:bCs/>
        </w:rPr>
      </w:pPr>
      <w:r w:rsidRPr="0001469E">
        <w:rPr>
          <w:b/>
          <w:bCs/>
        </w:rPr>
        <w:t>2.</w:t>
      </w:r>
      <w:r>
        <w:tab/>
      </w:r>
      <w:r w:rsidRPr="00076FA4">
        <w:rPr>
          <w:b/>
          <w:bCs/>
          <w:u w:val="single"/>
        </w:rPr>
        <w:t>Sprememba izhodiščne vrednosti Programsko specifičnega kazalnika rezultata</w:t>
      </w:r>
    </w:p>
    <w:p w14:paraId="6A665421" w14:textId="610BC37A" w:rsidR="0001469E" w:rsidRDefault="0001469E" w:rsidP="00C12E77">
      <w:pPr>
        <w:jc w:val="both"/>
      </w:pPr>
      <w:r w:rsidRPr="000B3E1A">
        <w:t>Pri programsko specifičnem kazalniku rezultata Delež podprtih organizacij, ki so uspešno vključile rezultate projektov za izboljšanje znanj, spretnosti in kompetenc v svoje razvojne načrte se spremeni izhodiščna vrednost in sicer namesto 85</w:t>
      </w:r>
      <w:r w:rsidR="00C257A8">
        <w:t xml:space="preserve"> </w:t>
      </w:r>
      <w:r w:rsidRPr="000B3E1A">
        <w:t>% se zapiše izhodiščna vrednost 0</w:t>
      </w:r>
      <w:r w:rsidR="00C257A8">
        <w:t xml:space="preserve"> </w:t>
      </w:r>
      <w:r w:rsidRPr="000B3E1A">
        <w:t xml:space="preserve">%. </w:t>
      </w:r>
    </w:p>
    <w:p w14:paraId="21CC69DA" w14:textId="64643CA8" w:rsidR="0B02C2F9" w:rsidRDefault="0B02C2F9" w:rsidP="4B4113B5">
      <w:pPr>
        <w:jc w:val="both"/>
      </w:pPr>
      <w:r>
        <w:t>Obrazložitev: V premogovnih regijah aktivn</w:t>
      </w:r>
      <w:r w:rsidR="351C41AB">
        <w:t>osti še niso bile izvajane. S spremembo odpravljamo napako.</w:t>
      </w:r>
    </w:p>
    <w:p w14:paraId="1656680A" w14:textId="352BC954" w:rsidR="005D7546" w:rsidRPr="005D7546" w:rsidRDefault="005D7546" w:rsidP="006059E7">
      <w:pPr>
        <w:pStyle w:val="Odstavekseznama"/>
        <w:numPr>
          <w:ilvl w:val="0"/>
          <w:numId w:val="30"/>
        </w:numPr>
        <w:spacing w:after="0"/>
        <w:ind w:hanging="720"/>
        <w:jc w:val="both"/>
        <w:rPr>
          <w:b/>
          <w:bCs/>
          <w:u w:val="single"/>
        </w:rPr>
      </w:pPr>
      <w:r w:rsidRPr="005D7546">
        <w:rPr>
          <w:b/>
          <w:bCs/>
          <w:u w:val="single"/>
        </w:rPr>
        <w:t>Sprememba razdelka Glavne ciljne skupine</w:t>
      </w:r>
    </w:p>
    <w:p w14:paraId="0BE211F7" w14:textId="77777777" w:rsidR="005D7546" w:rsidRDefault="005D7546" w:rsidP="005D7546">
      <w:pPr>
        <w:pStyle w:val="Brezrazmikov"/>
        <w:jc w:val="both"/>
        <w:rPr>
          <w:szCs w:val="20"/>
        </w:rPr>
      </w:pPr>
    </w:p>
    <w:p w14:paraId="486E8A83" w14:textId="518BA2B9" w:rsidR="005D7546" w:rsidRDefault="005D7546" w:rsidP="005D7546">
      <w:pPr>
        <w:pStyle w:val="Brezrazmikov"/>
        <w:jc w:val="both"/>
        <w:rPr>
          <w:szCs w:val="20"/>
        </w:rPr>
      </w:pPr>
      <w:r>
        <w:t>V razdelku Glavne ciljne skupine se</w:t>
      </w:r>
      <w:r w:rsidR="25B471B8">
        <w:t xml:space="preserve"> </w:t>
      </w:r>
    </w:p>
    <w:p w14:paraId="53C49124" w14:textId="77777777" w:rsidR="005D7546" w:rsidRDefault="005D7546" w:rsidP="005D7546">
      <w:pPr>
        <w:pStyle w:val="Brezrazmikov"/>
        <w:jc w:val="both"/>
        <w:rPr>
          <w:szCs w:val="20"/>
        </w:rPr>
      </w:pPr>
      <w:r w:rsidRPr="00B927AE">
        <w:rPr>
          <w:szCs w:val="20"/>
        </w:rPr>
        <w:t xml:space="preserve"> navedba »Ciljne skupine: podjetja, regionalna razvojna partnerstva, javni sektor,</w:t>
      </w:r>
      <w:r>
        <w:rPr>
          <w:szCs w:val="20"/>
        </w:rPr>
        <w:t xml:space="preserve"> </w:t>
      </w:r>
      <w:r w:rsidRPr="00B927AE">
        <w:rPr>
          <w:szCs w:val="20"/>
        </w:rPr>
        <w:t>učenci, dijaki, vzgojno izobraževalni zavodi in posamezniki na območjih, opredeljenih v območnih načrtih.</w:t>
      </w:r>
      <w:r>
        <w:rPr>
          <w:szCs w:val="20"/>
        </w:rPr>
        <w:t>«</w:t>
      </w:r>
    </w:p>
    <w:p w14:paraId="3700EBD8" w14:textId="77777777" w:rsidR="005D7546" w:rsidRDefault="005D7546" w:rsidP="005D7546">
      <w:pPr>
        <w:pStyle w:val="Brezrazmikov"/>
        <w:jc w:val="both"/>
        <w:rPr>
          <w:szCs w:val="20"/>
        </w:rPr>
      </w:pPr>
    </w:p>
    <w:p w14:paraId="3964882C" w14:textId="77777777" w:rsidR="005D7546" w:rsidRPr="00B927AE" w:rsidRDefault="005D7546" w:rsidP="005D7546">
      <w:pPr>
        <w:pStyle w:val="Brezrazmikov"/>
        <w:jc w:val="both"/>
        <w:rPr>
          <w:szCs w:val="20"/>
        </w:rPr>
      </w:pPr>
      <w:r w:rsidRPr="00B927AE">
        <w:rPr>
          <w:szCs w:val="20"/>
        </w:rPr>
        <w:t>spremeni v</w:t>
      </w:r>
    </w:p>
    <w:p w14:paraId="60C8DD7E" w14:textId="77777777" w:rsidR="005D7546" w:rsidRPr="00B927AE" w:rsidRDefault="005D7546" w:rsidP="005D7546">
      <w:pPr>
        <w:pStyle w:val="Brezrazmikov"/>
        <w:jc w:val="both"/>
        <w:rPr>
          <w:szCs w:val="20"/>
        </w:rPr>
      </w:pPr>
    </w:p>
    <w:p w14:paraId="14E61EFD" w14:textId="77777777" w:rsidR="005D7546" w:rsidRDefault="005D7546" w:rsidP="005D7546">
      <w:pPr>
        <w:pStyle w:val="Brezrazmikov"/>
        <w:jc w:val="both"/>
        <w:rPr>
          <w:szCs w:val="20"/>
        </w:rPr>
      </w:pPr>
      <w:r w:rsidRPr="00B927AE">
        <w:rPr>
          <w:szCs w:val="20"/>
        </w:rPr>
        <w:t xml:space="preserve">»Ciljne skupine: podjetja, regionalna razvojna partnerstva, javni sektor, </w:t>
      </w:r>
      <w:r w:rsidRPr="00B927AE">
        <w:rPr>
          <w:b/>
          <w:bCs/>
          <w:szCs w:val="20"/>
        </w:rPr>
        <w:t>otroci,</w:t>
      </w:r>
      <w:r w:rsidRPr="00B927AE">
        <w:rPr>
          <w:szCs w:val="20"/>
        </w:rPr>
        <w:t xml:space="preserve"> učenci, dijaki, vzgojno izobraževalni zavodi in posamezniki na območjih, opredeljenih v območnih načrtih.</w:t>
      </w:r>
      <w:r>
        <w:rPr>
          <w:szCs w:val="20"/>
        </w:rPr>
        <w:t>«</w:t>
      </w:r>
    </w:p>
    <w:p w14:paraId="5B3F9F2F" w14:textId="77777777" w:rsidR="005D7546" w:rsidRDefault="005D7546" w:rsidP="005D7546">
      <w:pPr>
        <w:pStyle w:val="Brezrazmikov"/>
        <w:jc w:val="both"/>
        <w:rPr>
          <w:szCs w:val="20"/>
        </w:rPr>
      </w:pPr>
    </w:p>
    <w:p w14:paraId="32CAAEA8" w14:textId="77777777" w:rsidR="005D7546" w:rsidRDefault="005D7546" w:rsidP="005D7546">
      <w:pPr>
        <w:pStyle w:val="Brezrazmikov"/>
        <w:jc w:val="both"/>
        <w:rPr>
          <w:szCs w:val="20"/>
        </w:rPr>
      </w:pPr>
      <w:r>
        <w:rPr>
          <w:szCs w:val="20"/>
        </w:rPr>
        <w:t xml:space="preserve">Navedba </w:t>
      </w:r>
      <w:r w:rsidRPr="00B927AE">
        <w:rPr>
          <w:szCs w:val="20"/>
        </w:rPr>
        <w:t>»</w:t>
      </w:r>
      <w:r w:rsidRPr="00B55875">
        <w:rPr>
          <w:szCs w:val="20"/>
        </w:rPr>
        <w:t xml:space="preserve">Upravičenci: podjetja, zadruge, </w:t>
      </w:r>
      <w:r>
        <w:rPr>
          <w:szCs w:val="20"/>
        </w:rPr>
        <w:t xml:space="preserve">javni </w:t>
      </w:r>
      <w:r w:rsidRPr="00B55875">
        <w:rPr>
          <w:szCs w:val="20"/>
        </w:rPr>
        <w:t>zavodi (VIZ, javni raziskovalni zavodi, ZRSZ), institucije podpornega okolja, regionalna razvojna partnerstva, neprofitne organizacije in lokalne skupnosti na območjih, opredeljenih v območnih načrtih.</w:t>
      </w:r>
      <w:r>
        <w:rPr>
          <w:szCs w:val="20"/>
        </w:rPr>
        <w:t>«</w:t>
      </w:r>
    </w:p>
    <w:p w14:paraId="249B420B" w14:textId="77777777" w:rsidR="005D7546" w:rsidRDefault="005D7546" w:rsidP="005D7546">
      <w:pPr>
        <w:pStyle w:val="Brezrazmikov"/>
        <w:jc w:val="both"/>
        <w:rPr>
          <w:szCs w:val="20"/>
        </w:rPr>
      </w:pPr>
    </w:p>
    <w:p w14:paraId="73415FC2" w14:textId="51B57400" w:rsidR="005D7546" w:rsidRDefault="100E0D63" w:rsidP="005D7546">
      <w:pPr>
        <w:pStyle w:val="Brezrazmikov"/>
        <w:jc w:val="both"/>
        <w:rPr>
          <w:szCs w:val="20"/>
        </w:rPr>
      </w:pPr>
      <w:r>
        <w:t>s</w:t>
      </w:r>
      <w:r w:rsidR="7A1861C2">
        <w:t>e</w:t>
      </w:r>
      <w:r w:rsidR="005D7546">
        <w:rPr>
          <w:szCs w:val="20"/>
        </w:rPr>
        <w:t xml:space="preserve"> spremeni, da se glasi: </w:t>
      </w:r>
    </w:p>
    <w:p w14:paraId="2E03856C" w14:textId="2F40AF28" w:rsidR="005D7546" w:rsidRPr="00B927AE" w:rsidRDefault="005D7546" w:rsidP="005D7546">
      <w:pPr>
        <w:pStyle w:val="Brezrazmikov"/>
        <w:jc w:val="both"/>
      </w:pPr>
      <w:r>
        <w:t xml:space="preserve">»Upravičenci: podjetja, zadruge, </w:t>
      </w:r>
      <w:r w:rsidR="00B37DE0">
        <w:t xml:space="preserve">javni </w:t>
      </w:r>
      <w:r>
        <w:t>zavodi</w:t>
      </w:r>
      <w:r w:rsidR="00B37DE0">
        <w:t xml:space="preserve"> </w:t>
      </w:r>
      <w:r>
        <w:t xml:space="preserve">( javni raziskovalni zavodi, ZRSZ), </w:t>
      </w:r>
      <w:r w:rsidR="379B714E">
        <w:t xml:space="preserve">vrtci in šole, vpisani v razvid, </w:t>
      </w:r>
      <w:r>
        <w:t>institucije podpornega okolja, regionalna razvojna partnerstva, neprofitne organizacije in lokalne skupnosti na območjih, opredeljenih v območnih načrtih«</w:t>
      </w:r>
    </w:p>
    <w:p w14:paraId="58224218" w14:textId="77777777" w:rsidR="005D7546" w:rsidRPr="00B927AE" w:rsidRDefault="005D7546" w:rsidP="005D7546">
      <w:pPr>
        <w:pStyle w:val="Brezrazmikov"/>
        <w:jc w:val="both"/>
        <w:rPr>
          <w:szCs w:val="20"/>
        </w:rPr>
      </w:pPr>
    </w:p>
    <w:p w14:paraId="354E85F6" w14:textId="77777777" w:rsidR="005D7546" w:rsidRDefault="005D7546" w:rsidP="005D7546">
      <w:pPr>
        <w:pStyle w:val="Brezrazmikov"/>
        <w:jc w:val="both"/>
      </w:pPr>
      <w:r w:rsidRPr="00076FA4">
        <w:rPr>
          <w:u w:val="single"/>
        </w:rPr>
        <w:t>Obrazložitev</w:t>
      </w:r>
      <w:r w:rsidRPr="000B3E1A">
        <w:t>:</w:t>
      </w:r>
    </w:p>
    <w:p w14:paraId="2075EFC8" w14:textId="77777777" w:rsidR="005D7546" w:rsidRDefault="005D7546" w:rsidP="005D7546">
      <w:pPr>
        <w:jc w:val="both"/>
        <w:rPr>
          <w:rFonts w:cs="Arial"/>
          <w:kern w:val="0"/>
          <w:szCs w:val="20"/>
          <w14:ligatures w14:val="none"/>
        </w:rPr>
      </w:pPr>
      <w:r>
        <w:rPr>
          <w:rFonts w:cs="Arial"/>
          <w:kern w:val="0"/>
          <w:szCs w:val="20"/>
          <w14:ligatures w14:val="none"/>
        </w:rPr>
        <w:t>V</w:t>
      </w:r>
      <w:r w:rsidRPr="00E33296">
        <w:rPr>
          <w:rFonts w:cs="Arial"/>
          <w:kern w:val="0"/>
          <w:szCs w:val="20"/>
          <w14:ligatures w14:val="none"/>
        </w:rPr>
        <w:t xml:space="preserve"> razdelek »Glavne ciljne skupine« </w:t>
      </w:r>
      <w:r>
        <w:rPr>
          <w:rFonts w:cs="Arial"/>
          <w:kern w:val="0"/>
          <w:szCs w:val="20"/>
          <w14:ligatures w14:val="none"/>
        </w:rPr>
        <w:t>se doda</w:t>
      </w:r>
      <w:r w:rsidRPr="00E33296">
        <w:rPr>
          <w:rFonts w:cs="Arial"/>
          <w:kern w:val="0"/>
          <w:szCs w:val="20"/>
          <w14:ligatures w14:val="none"/>
        </w:rPr>
        <w:t xml:space="preserve"> besedo »otroci«. Gre za jasnejši zapis ciljnih skupin in ustrezno povzemanje celotne izobraževalne vertikale.</w:t>
      </w:r>
      <w:r>
        <w:rPr>
          <w:rFonts w:cs="Arial"/>
          <w:kern w:val="0"/>
          <w:szCs w:val="20"/>
          <w14:ligatures w14:val="none"/>
        </w:rPr>
        <w:t xml:space="preserve"> </w:t>
      </w:r>
    </w:p>
    <w:p w14:paraId="677C9515" w14:textId="145E8E5B" w:rsidR="005D7546" w:rsidRDefault="005D7546" w:rsidP="005D7546">
      <w:pPr>
        <w:jc w:val="both"/>
        <w:rPr>
          <w:rFonts w:cs="Arial"/>
        </w:rPr>
      </w:pPr>
      <w:r w:rsidRPr="4B4113B5">
        <w:rPr>
          <w:rFonts w:cs="Arial"/>
          <w:kern w:val="0"/>
          <w14:ligatures w14:val="none"/>
        </w:rPr>
        <w:t xml:space="preserve">V razdelku »Upravičenci« </w:t>
      </w:r>
      <w:r w:rsidR="47D0E7BD" w:rsidRPr="4B4113B5">
        <w:rPr>
          <w:rFonts w:cs="Arial"/>
          <w:kern w:val="0"/>
          <w14:ligatures w14:val="none"/>
        </w:rPr>
        <w:t>g</w:t>
      </w:r>
      <w:r w:rsidRPr="4B4113B5">
        <w:rPr>
          <w:rFonts w:cs="Arial"/>
          <w:kern w:val="0"/>
          <w14:ligatures w14:val="none"/>
        </w:rPr>
        <w:t xml:space="preserve">re za </w:t>
      </w:r>
      <w:r w:rsidR="00B37DE0" w:rsidRPr="4B4113B5">
        <w:rPr>
          <w:rFonts w:cs="Arial"/>
          <w:kern w:val="0"/>
          <w14:ligatures w14:val="none"/>
        </w:rPr>
        <w:t xml:space="preserve">spremembo, ki razen javnim omogoča sodelovanje </w:t>
      </w:r>
      <w:r w:rsidR="48058ABF" w:rsidRPr="4B4113B5">
        <w:rPr>
          <w:rFonts w:cs="Arial"/>
        </w:rPr>
        <w:t xml:space="preserve">vsem </w:t>
      </w:r>
      <w:r w:rsidR="48058ABF" w:rsidRPr="0B969D3F">
        <w:rPr>
          <w:rFonts w:cs="Arial"/>
        </w:rPr>
        <w:t>vrtce</w:t>
      </w:r>
      <w:r w:rsidR="69CC314E" w:rsidRPr="0B969D3F">
        <w:rPr>
          <w:rFonts w:cs="Arial"/>
        </w:rPr>
        <w:t>m</w:t>
      </w:r>
      <w:r w:rsidR="48058ABF" w:rsidRPr="4B4113B5">
        <w:rPr>
          <w:rFonts w:cs="Arial"/>
        </w:rPr>
        <w:t>, osnovnim in srednjim šolam, vpisanim</w:t>
      </w:r>
      <w:r w:rsidR="4325D14D" w:rsidRPr="4B4113B5">
        <w:rPr>
          <w:rFonts w:cs="Arial"/>
        </w:rPr>
        <w:t xml:space="preserve"> v razvid na podlagi </w:t>
      </w:r>
      <w:r w:rsidR="38470767" w:rsidRPr="4B4113B5">
        <w:rPr>
          <w:rFonts w:cs="Arial"/>
        </w:rPr>
        <w:t>zakona, ki ureja to področje.</w:t>
      </w:r>
    </w:p>
    <w:p w14:paraId="3BDE0743" w14:textId="219BF60E" w:rsidR="00971403" w:rsidRDefault="2BFF5966" w:rsidP="00971403">
      <w:pPr>
        <w:pStyle w:val="Naslov3"/>
        <w:numPr>
          <w:ilvl w:val="2"/>
          <w:numId w:val="2"/>
        </w:numPr>
        <w:rPr>
          <w:color w:val="4472C4" w:themeColor="accent1"/>
        </w:rPr>
      </w:pPr>
      <w:bookmarkStart w:id="218" w:name="_Toc191383884"/>
      <w:r w:rsidRPr="7F582EEE">
        <w:rPr>
          <w:color w:val="4472C4" w:themeColor="accent1"/>
        </w:rPr>
        <w:t>P</w:t>
      </w:r>
      <w:r w:rsidR="528A5278" w:rsidRPr="7F582EEE">
        <w:rPr>
          <w:color w:val="4472C4" w:themeColor="accent1"/>
        </w:rPr>
        <w:t>T</w:t>
      </w:r>
      <w:r w:rsidR="528A5278" w:rsidRPr="3BD993EA">
        <w:rPr>
          <w:color w:val="4472C4" w:themeColor="accent1"/>
        </w:rPr>
        <w:t>: MOPE</w:t>
      </w:r>
      <w:bookmarkEnd w:id="218"/>
      <w:r w:rsidR="528A5278" w:rsidRPr="3BD993EA">
        <w:rPr>
          <w:color w:val="4472C4" w:themeColor="accent1"/>
        </w:rPr>
        <w:t xml:space="preserve"> </w:t>
      </w:r>
    </w:p>
    <w:p w14:paraId="4EC04F34" w14:textId="77777777" w:rsidR="006059E7" w:rsidRPr="006059E7" w:rsidRDefault="006059E7" w:rsidP="006059E7">
      <w:pPr>
        <w:spacing w:after="0"/>
      </w:pPr>
    </w:p>
    <w:p w14:paraId="100D0342" w14:textId="4515015A" w:rsidR="00971403" w:rsidRPr="006059E7" w:rsidRDefault="0E69F26F" w:rsidP="3BD993EA">
      <w:pPr>
        <w:pStyle w:val="Brezrazmikov"/>
        <w:numPr>
          <w:ilvl w:val="0"/>
          <w:numId w:val="64"/>
        </w:numPr>
        <w:ind w:hanging="862"/>
        <w:rPr>
          <w:rFonts w:eastAsia="Arial" w:cs="Arial"/>
          <w:b/>
          <w:bCs/>
          <w:szCs w:val="20"/>
          <w:u w:val="single"/>
        </w:rPr>
      </w:pPr>
      <w:r w:rsidRPr="3BD993EA">
        <w:rPr>
          <w:rFonts w:eastAsia="Arial" w:cs="Arial"/>
          <w:b/>
          <w:bCs/>
          <w:szCs w:val="20"/>
          <w:u w:val="single"/>
        </w:rPr>
        <w:t xml:space="preserve">Ukrepi »postopne sanacije in revitalizacije prostorsko in </w:t>
      </w:r>
      <w:proofErr w:type="spellStart"/>
      <w:r w:rsidRPr="3BD993EA">
        <w:rPr>
          <w:rFonts w:eastAsia="Arial" w:cs="Arial"/>
          <w:b/>
          <w:bCs/>
          <w:szCs w:val="20"/>
          <w:u w:val="single"/>
        </w:rPr>
        <w:t>okoljsko</w:t>
      </w:r>
      <w:proofErr w:type="spellEnd"/>
      <w:r w:rsidRPr="3BD993EA">
        <w:rPr>
          <w:rFonts w:eastAsia="Arial" w:cs="Arial"/>
          <w:b/>
          <w:bCs/>
          <w:szCs w:val="20"/>
          <w:u w:val="single"/>
        </w:rPr>
        <w:t xml:space="preserve"> degradiranih območij SAŠA regije« se umestijo v ukrep v okviru strateškega cilja »pravični energetski prehod«</w:t>
      </w:r>
    </w:p>
    <w:p w14:paraId="61DE9DCF" w14:textId="37B80866" w:rsidR="00971403" w:rsidRPr="006059E7" w:rsidRDefault="00971403" w:rsidP="3BD993EA">
      <w:pPr>
        <w:pStyle w:val="Brezrazmikov"/>
        <w:ind w:left="720" w:hanging="862"/>
        <w:rPr>
          <w:rFonts w:eastAsia="Arial" w:cs="Arial"/>
          <w:b/>
          <w:bCs/>
          <w:szCs w:val="20"/>
        </w:rPr>
      </w:pPr>
    </w:p>
    <w:p w14:paraId="654BC2C4" w14:textId="6E8F3FB0" w:rsidR="00971403" w:rsidRPr="006059E7" w:rsidRDefault="0E69F26F" w:rsidP="7F582EEE">
      <w:pPr>
        <w:pStyle w:val="Brezrazmikov"/>
        <w:rPr>
          <w:rFonts w:eastAsia="Arial" w:cs="Arial"/>
          <w:b/>
          <w:bCs/>
          <w:szCs w:val="20"/>
          <w:u w:val="single"/>
        </w:rPr>
      </w:pPr>
      <w:r w:rsidRPr="3BD993EA">
        <w:rPr>
          <w:rFonts w:eastAsia="Arial" w:cs="Arial"/>
          <w:szCs w:val="20"/>
        </w:rPr>
        <w:t xml:space="preserve">Ukrepi postopne sanacije in revitalizacije prostorsko in </w:t>
      </w:r>
      <w:proofErr w:type="spellStart"/>
      <w:r w:rsidRPr="3BD993EA">
        <w:rPr>
          <w:rFonts w:eastAsia="Arial" w:cs="Arial"/>
          <w:szCs w:val="20"/>
        </w:rPr>
        <w:t>okoljsko</w:t>
      </w:r>
      <w:proofErr w:type="spellEnd"/>
      <w:r w:rsidRPr="3BD993EA">
        <w:rPr>
          <w:rFonts w:eastAsia="Arial" w:cs="Arial"/>
          <w:szCs w:val="20"/>
        </w:rPr>
        <w:t xml:space="preserve"> degradiranih območij SAŠA regije se umestijo v okvir strateške</w:t>
      </w:r>
      <w:r w:rsidR="000107C9">
        <w:rPr>
          <w:rFonts w:eastAsia="Arial" w:cs="Arial"/>
          <w:szCs w:val="20"/>
        </w:rPr>
        <w:t>ga</w:t>
      </w:r>
      <w:r w:rsidRPr="3BD993EA">
        <w:rPr>
          <w:rFonts w:eastAsia="Arial" w:cs="Arial"/>
          <w:szCs w:val="20"/>
        </w:rPr>
        <w:t xml:space="preserve"> cilja ONPP SAŠA </w:t>
      </w:r>
      <w:r w:rsidR="0B37C738" w:rsidRPr="7F582EEE">
        <w:rPr>
          <w:rFonts w:eastAsia="Arial" w:cs="Arial"/>
          <w:u w:val="single"/>
        </w:rPr>
        <w:t>»pravični energetski prehod«</w:t>
      </w:r>
    </w:p>
    <w:p w14:paraId="645B6678" w14:textId="6B9F8D1D" w:rsidR="00971403" w:rsidRPr="006059E7" w:rsidRDefault="00971403" w:rsidP="7F582EEE">
      <w:pPr>
        <w:pStyle w:val="Brezrazmikov"/>
        <w:rPr>
          <w:rFonts w:eastAsia="Arial" w:cs="Arial"/>
          <w:szCs w:val="20"/>
        </w:rPr>
      </w:pPr>
    </w:p>
    <w:p w14:paraId="6BDDD1F1" w14:textId="427B3C32" w:rsidR="00971403" w:rsidRPr="006059E7" w:rsidRDefault="0E69F26F" w:rsidP="7F582EEE">
      <w:pPr>
        <w:pStyle w:val="Brezrazmikov"/>
        <w:rPr>
          <w:rFonts w:eastAsia="Arial" w:cs="Arial"/>
          <w:szCs w:val="20"/>
        </w:rPr>
      </w:pPr>
      <w:r w:rsidRPr="3BD993EA">
        <w:rPr>
          <w:rFonts w:eastAsia="Arial" w:cs="Arial"/>
          <w:szCs w:val="20"/>
        </w:rPr>
        <w:t>Tako se ukrep:</w:t>
      </w:r>
    </w:p>
    <w:p w14:paraId="38E6EFD9" w14:textId="2C03B40B" w:rsidR="00971403" w:rsidRPr="006059E7" w:rsidRDefault="0E69F26F" w:rsidP="7F582EEE">
      <w:pPr>
        <w:pStyle w:val="Brezrazmikov"/>
        <w:rPr>
          <w:rFonts w:eastAsia="Arial" w:cs="Arial"/>
          <w:szCs w:val="20"/>
        </w:rPr>
      </w:pPr>
      <w:r w:rsidRPr="3BD993EA">
        <w:rPr>
          <w:rFonts w:eastAsia="Arial" w:cs="Arial"/>
          <w:szCs w:val="20"/>
        </w:rPr>
        <w:t>»- spodbujanje rabe OVE«</w:t>
      </w:r>
    </w:p>
    <w:p w14:paraId="3C65222F" w14:textId="6169C1C1" w:rsidR="00971403" w:rsidRPr="006059E7" w:rsidRDefault="0E69F26F" w:rsidP="7F582EEE">
      <w:pPr>
        <w:pStyle w:val="Brezrazmikov"/>
        <w:rPr>
          <w:rFonts w:eastAsia="Arial" w:cs="Arial"/>
          <w:szCs w:val="20"/>
        </w:rPr>
      </w:pPr>
      <w:r w:rsidRPr="3BD993EA">
        <w:rPr>
          <w:rFonts w:eastAsia="Arial" w:cs="Arial"/>
          <w:szCs w:val="20"/>
        </w:rPr>
        <w:t>dopolni tako, da glasi:</w:t>
      </w:r>
    </w:p>
    <w:p w14:paraId="7D966CED" w14:textId="198CE7EB" w:rsidR="00971403" w:rsidRPr="006059E7" w:rsidRDefault="0E69F26F" w:rsidP="7F582EEE">
      <w:pPr>
        <w:pStyle w:val="Brezrazmikov"/>
        <w:jc w:val="both"/>
        <w:rPr>
          <w:rFonts w:eastAsia="Arial" w:cs="Arial"/>
          <w:szCs w:val="20"/>
        </w:rPr>
      </w:pPr>
      <w:r w:rsidRPr="3BD993EA">
        <w:rPr>
          <w:rFonts w:eastAsia="Arial" w:cs="Arial"/>
          <w:szCs w:val="20"/>
        </w:rPr>
        <w:t xml:space="preserve">»- spodbujanje proizvodnih zmogljivosti in rabe OVE ter različnih z OVE povezanih tehnologij, pri čemer bomo naložbe usmerjali na prostorsko in </w:t>
      </w:r>
      <w:proofErr w:type="spellStart"/>
      <w:r w:rsidRPr="3BD993EA">
        <w:rPr>
          <w:rFonts w:eastAsia="Arial" w:cs="Arial"/>
          <w:szCs w:val="20"/>
        </w:rPr>
        <w:t>okoljsko</w:t>
      </w:r>
      <w:proofErr w:type="spellEnd"/>
      <w:r w:rsidRPr="3BD993EA">
        <w:rPr>
          <w:rFonts w:eastAsia="Arial" w:cs="Arial"/>
          <w:szCs w:val="20"/>
        </w:rPr>
        <w:t xml:space="preserve"> degradirana območja, ki so povezana s premogovništvom in rabo premoga ob spoštovanju načela »onesnaževalec plača« in skladno z izvedbo rudarskih sanacijskih del v okviru zakonodaje s področja rudarstva, ki bodo izvedena skladno s zakonom/programom o zapiranju rudnika«</w:t>
      </w:r>
    </w:p>
    <w:p w14:paraId="46F9E9C4" w14:textId="066C418F" w:rsidR="00971403" w:rsidRPr="006059E7" w:rsidRDefault="0E69F26F" w:rsidP="7F582EEE">
      <w:pPr>
        <w:pStyle w:val="Brezrazmikov"/>
        <w:rPr>
          <w:rFonts w:eastAsia="Arial" w:cs="Arial"/>
          <w:szCs w:val="20"/>
        </w:rPr>
      </w:pPr>
      <w:r w:rsidRPr="3BD993EA">
        <w:rPr>
          <w:rFonts w:eastAsia="Arial" w:cs="Arial"/>
          <w:szCs w:val="20"/>
        </w:rPr>
        <w:t xml:space="preserve"> </w:t>
      </w:r>
    </w:p>
    <w:p w14:paraId="0804A7BC" w14:textId="4F27F457" w:rsidR="00971403" w:rsidRPr="006059E7" w:rsidRDefault="0E69F26F" w:rsidP="7F582EEE">
      <w:pPr>
        <w:pStyle w:val="Brezrazmikov"/>
        <w:rPr>
          <w:rFonts w:eastAsia="Arial" w:cs="Arial"/>
          <w:szCs w:val="20"/>
        </w:rPr>
      </w:pPr>
      <w:r w:rsidRPr="3BD993EA">
        <w:rPr>
          <w:rFonts w:eastAsia="Arial" w:cs="Arial"/>
          <w:szCs w:val="20"/>
        </w:rPr>
        <w:t>Hkrati se briše dosedanji odstavek:</w:t>
      </w:r>
    </w:p>
    <w:p w14:paraId="75C1C3C9" w14:textId="47223BB6" w:rsidR="00971403" w:rsidRPr="006059E7" w:rsidRDefault="0E69F26F" w:rsidP="7F582EEE">
      <w:pPr>
        <w:pStyle w:val="Brezrazmikov"/>
        <w:jc w:val="both"/>
        <w:rPr>
          <w:rFonts w:eastAsia="Arial" w:cs="Arial"/>
          <w:szCs w:val="20"/>
        </w:rPr>
      </w:pPr>
      <w:r w:rsidRPr="3BD993EA">
        <w:rPr>
          <w:rFonts w:eastAsia="Arial" w:cs="Arial"/>
          <w:szCs w:val="20"/>
        </w:rPr>
        <w:t xml:space="preserve">»Za doseganje cilja postopne sanacije in revitalizacije prostorsko in </w:t>
      </w:r>
      <w:proofErr w:type="spellStart"/>
      <w:r w:rsidRPr="3BD993EA">
        <w:rPr>
          <w:rFonts w:eastAsia="Arial" w:cs="Arial"/>
          <w:szCs w:val="20"/>
        </w:rPr>
        <w:t>okoljsko</w:t>
      </w:r>
      <w:proofErr w:type="spellEnd"/>
      <w:r w:rsidRPr="3BD993EA">
        <w:rPr>
          <w:rFonts w:eastAsia="Arial" w:cs="Arial"/>
          <w:szCs w:val="20"/>
        </w:rPr>
        <w:t xml:space="preserve"> degradiranih območij, ki so povezana s premogovništvom in rabo premoga, bodo, ob spoštovanju načela »onesnaževalec plača« </w:t>
      </w:r>
      <w:r w:rsidRPr="3BD993EA">
        <w:rPr>
          <w:rFonts w:eastAsia="Arial" w:cs="Arial"/>
          <w:szCs w:val="20"/>
        </w:rPr>
        <w:lastRenderedPageBreak/>
        <w:t>in z izvedbo rudarskih sanacijskih del v okviru zakonodaje s področja rudarstva, ki bodo izvedena skladno s zakonom/programom o zapiranju rudnika, izvedeni naslednji ukrepi:</w:t>
      </w:r>
    </w:p>
    <w:p w14:paraId="4500988D" w14:textId="139A0125" w:rsidR="00971403" w:rsidRPr="006059E7" w:rsidRDefault="0E69F26F" w:rsidP="7F582EEE">
      <w:pPr>
        <w:pStyle w:val="Brezrazmikov"/>
        <w:rPr>
          <w:rFonts w:eastAsia="Arial" w:cs="Arial"/>
          <w:szCs w:val="20"/>
        </w:rPr>
      </w:pPr>
      <w:r w:rsidRPr="3BD993EA">
        <w:rPr>
          <w:rFonts w:eastAsia="Arial" w:cs="Arial"/>
          <w:szCs w:val="20"/>
        </w:rPr>
        <w:t>-razgradnja in sprememba namena objektov, povezanih z rabo premoga, potrebna za izvedbo naložb v dvig proizvodnih zmogljivosti iz OVE (Stara elektrarna – Velenje, Blok 1-3 – Šoštanj, Blok 4 – Šoštanj, Hladilni stolp 4 – Šoštanj).«</w:t>
      </w:r>
    </w:p>
    <w:p w14:paraId="0F78827E" w14:textId="7A347366" w:rsidR="00971403" w:rsidRPr="006059E7" w:rsidRDefault="0E69F26F" w:rsidP="7F582EEE">
      <w:pPr>
        <w:pStyle w:val="Brezrazmikov"/>
        <w:rPr>
          <w:rFonts w:eastAsia="Arial" w:cs="Arial"/>
          <w:b/>
          <w:bCs/>
          <w:szCs w:val="20"/>
        </w:rPr>
      </w:pPr>
      <w:r w:rsidRPr="3BD993EA">
        <w:rPr>
          <w:rFonts w:eastAsia="Arial" w:cs="Arial"/>
          <w:szCs w:val="20"/>
        </w:rPr>
        <w:t xml:space="preserve"> </w:t>
      </w:r>
      <w:r w:rsidRPr="3BD993EA">
        <w:rPr>
          <w:rFonts w:eastAsia="Arial" w:cs="Arial"/>
          <w:b/>
          <w:bCs/>
          <w:szCs w:val="20"/>
        </w:rPr>
        <w:t xml:space="preserve"> </w:t>
      </w:r>
    </w:p>
    <w:p w14:paraId="2C8B572F" w14:textId="7B7EFCD5" w:rsidR="00971403" w:rsidRPr="006059E7" w:rsidRDefault="0E69F26F" w:rsidP="7F582EEE">
      <w:pPr>
        <w:pStyle w:val="Brezrazmikov"/>
        <w:rPr>
          <w:rFonts w:eastAsia="Arial" w:cs="Arial"/>
          <w:b/>
          <w:bCs/>
          <w:szCs w:val="20"/>
          <w:u w:val="single"/>
        </w:rPr>
      </w:pPr>
      <w:r w:rsidRPr="3BD993EA">
        <w:rPr>
          <w:rFonts w:eastAsia="Arial" w:cs="Arial"/>
          <w:b/>
          <w:bCs/>
          <w:szCs w:val="20"/>
          <w:u w:val="single"/>
        </w:rPr>
        <w:t>Obrazložitev:</w:t>
      </w:r>
    </w:p>
    <w:p w14:paraId="673EBEC8" w14:textId="40D5C12B" w:rsidR="00971403" w:rsidRPr="006059E7" w:rsidRDefault="56EEA3A8" w:rsidP="7F582EEE">
      <w:pPr>
        <w:spacing w:before="240" w:after="240"/>
        <w:jc w:val="both"/>
        <w:rPr>
          <w:rFonts w:eastAsia="Arial" w:cs="Arial"/>
          <w:szCs w:val="20"/>
        </w:rPr>
      </w:pPr>
      <w:r w:rsidRPr="3BD993EA">
        <w:rPr>
          <w:rFonts w:eastAsia="Arial" w:cs="Arial"/>
          <w:szCs w:val="20"/>
        </w:rPr>
        <w:t>Pri preverjanju pravne podlage za operacije v okviru ukrepa razgradnja in sprememba namena objektov, povezanih z rabo premoga, potrebna za izvedbo naložb v dvig proizvodnih zmogljivosti iz OVE, se je skupaj z Evropsko komisijo ugotovilo, da tega ni mogoče izvajati kot samostojnih operacij.</w:t>
      </w:r>
    </w:p>
    <w:p w14:paraId="5D1A7537" w14:textId="5A86925E" w:rsidR="00971403" w:rsidRPr="006059E7" w:rsidRDefault="56EEA3A8" w:rsidP="00C76CE4">
      <w:pPr>
        <w:spacing w:before="240" w:after="0"/>
        <w:jc w:val="both"/>
        <w:rPr>
          <w:rFonts w:eastAsia="Arial" w:cs="Arial"/>
          <w:szCs w:val="20"/>
        </w:rPr>
      </w:pPr>
      <w:r w:rsidRPr="3BD993EA">
        <w:rPr>
          <w:rFonts w:eastAsia="Arial" w:cs="Arial"/>
          <w:szCs w:val="20"/>
        </w:rPr>
        <w:t>Posledično se predlaga vsebino in sredstva s tega ukrepa smiselno vključili v ukrep "Spodbujanje proizvodnih zmogljivosti in rabe OVE ter različnih z OVE povezanih tehnologij" v okviru cilja "Pravični energetski prehod". Ohrani se tudi kazalnik učinka RCO38 "Površina saniranih zemljišč", kar pozitivno vpliva na izvedbo energetskih projektov financiranih iz Sklada za pravični prehod, ki so ključni za celovito energetsko prestrukturiranje SAŠA regije.</w:t>
      </w:r>
    </w:p>
    <w:p w14:paraId="51030D71" w14:textId="4DB97CB8" w:rsidR="00971403" w:rsidRPr="006059E7" w:rsidRDefault="57EB1149" w:rsidP="000107C9">
      <w:pPr>
        <w:pStyle w:val="Brezrazmikov"/>
        <w:rPr>
          <w:rFonts w:eastAsia="Arial" w:cs="Arial"/>
          <w:b/>
          <w:bCs/>
          <w:szCs w:val="20"/>
        </w:rPr>
      </w:pPr>
      <w:r w:rsidRPr="3BD993EA">
        <w:rPr>
          <w:rFonts w:eastAsia="Arial" w:cs="Arial"/>
          <w:b/>
          <w:bCs/>
          <w:szCs w:val="20"/>
        </w:rPr>
        <w:t xml:space="preserve"> </w:t>
      </w:r>
    </w:p>
    <w:p w14:paraId="47D8C566" w14:textId="5355AF22" w:rsidR="00971403" w:rsidRPr="006059E7" w:rsidRDefault="528A5278" w:rsidP="7F582EEE">
      <w:pPr>
        <w:pStyle w:val="Brezrazmikov"/>
        <w:numPr>
          <w:ilvl w:val="0"/>
          <w:numId w:val="64"/>
        </w:numPr>
        <w:rPr>
          <w:b/>
          <w:bCs/>
          <w:szCs w:val="20"/>
          <w:u w:val="single"/>
        </w:rPr>
      </w:pPr>
      <w:r w:rsidRPr="3BD993EA">
        <w:rPr>
          <w:b/>
          <w:bCs/>
          <w:u w:val="single"/>
        </w:rPr>
        <w:t xml:space="preserve">Sprememba vrednosti v okviru </w:t>
      </w:r>
      <w:r w:rsidRPr="7F582EEE">
        <w:rPr>
          <w:b/>
          <w:bCs/>
          <w:u w:val="single"/>
        </w:rPr>
        <w:t>kod</w:t>
      </w:r>
      <w:r w:rsidRPr="3BD993EA">
        <w:rPr>
          <w:b/>
          <w:bCs/>
          <w:u w:val="single"/>
        </w:rPr>
        <w:t xml:space="preserve"> razsežnosti </w:t>
      </w:r>
      <w:r w:rsidR="10EEF27D" w:rsidRPr="3BD993EA">
        <w:rPr>
          <w:b/>
          <w:bCs/>
          <w:u w:val="single"/>
        </w:rPr>
        <w:t>»</w:t>
      </w:r>
      <w:r w:rsidRPr="3BD993EA">
        <w:rPr>
          <w:b/>
          <w:bCs/>
          <w:u w:val="single"/>
        </w:rPr>
        <w:t>področj</w:t>
      </w:r>
      <w:r w:rsidR="10EEF27D" w:rsidRPr="3BD993EA">
        <w:rPr>
          <w:b/>
          <w:bCs/>
          <w:u w:val="single"/>
        </w:rPr>
        <w:t>e</w:t>
      </w:r>
      <w:r w:rsidRPr="3BD993EA">
        <w:rPr>
          <w:b/>
          <w:bCs/>
          <w:u w:val="single"/>
        </w:rPr>
        <w:t xml:space="preserve"> ukrepanja</w:t>
      </w:r>
      <w:r w:rsidR="10EEF27D" w:rsidRPr="3BD993EA">
        <w:rPr>
          <w:b/>
          <w:bCs/>
          <w:u w:val="single"/>
        </w:rPr>
        <w:t>«</w:t>
      </w:r>
    </w:p>
    <w:p w14:paraId="3C9184C0" w14:textId="77777777" w:rsidR="00971403" w:rsidRDefault="00971403" w:rsidP="009469ED">
      <w:pPr>
        <w:spacing w:after="0"/>
        <w:jc w:val="both"/>
      </w:pPr>
    </w:p>
    <w:p w14:paraId="66B32E7A" w14:textId="5F8C533E" w:rsidR="444A5550" w:rsidRDefault="444A5550" w:rsidP="7F582EEE">
      <w:pPr>
        <w:spacing w:after="0" w:line="257" w:lineRule="auto"/>
        <w:jc w:val="both"/>
        <w:rPr>
          <w:rFonts w:eastAsia="Arial" w:cs="Arial"/>
          <w:szCs w:val="20"/>
        </w:rPr>
      </w:pPr>
      <w:r w:rsidRPr="3BD993EA">
        <w:rPr>
          <w:rFonts w:eastAsia="Arial" w:cs="Arial"/>
          <w:szCs w:val="20"/>
        </w:rPr>
        <w:t>Zmanjša se vrednost na kodi razsežnosti področje ukrepanja 53 Pametni energetski sistemi (vključno s pametnimi omrežji in sistemi IKT) ter povezano shranjevanje iz 5.200.000,00 EUR na 3.550.000,00 EUR.</w:t>
      </w:r>
    </w:p>
    <w:p w14:paraId="2C242DB8" w14:textId="77777777" w:rsidR="00B0258F" w:rsidRDefault="00B0258F" w:rsidP="7F582EEE">
      <w:pPr>
        <w:spacing w:after="0" w:line="257" w:lineRule="auto"/>
        <w:jc w:val="both"/>
        <w:rPr>
          <w:rFonts w:eastAsia="Arial" w:cs="Arial"/>
          <w:szCs w:val="20"/>
        </w:rPr>
      </w:pPr>
    </w:p>
    <w:p w14:paraId="2ACCB8AC" w14:textId="29AB7839" w:rsidR="444A5550" w:rsidRDefault="444A5550" w:rsidP="7F582EEE">
      <w:pPr>
        <w:spacing w:after="0" w:line="257" w:lineRule="auto"/>
        <w:jc w:val="both"/>
        <w:rPr>
          <w:rFonts w:eastAsia="Arial" w:cs="Arial"/>
          <w:szCs w:val="20"/>
        </w:rPr>
      </w:pPr>
      <w:r w:rsidRPr="3BD993EA">
        <w:rPr>
          <w:rFonts w:eastAsia="Arial" w:cs="Arial"/>
          <w:szCs w:val="20"/>
        </w:rPr>
        <w:t xml:space="preserve">Vrednost na kodi razsežnosti področje ukrepanja 55 Visoko učinkovita soproizvodnja toplote in električne energije, daljinsko ogrevanje in hlajenje z nizkimi emisijami v življenjskem ciklu se zmanjša na vrednost 0,00 EUR. </w:t>
      </w:r>
    </w:p>
    <w:p w14:paraId="656E0B0F" w14:textId="77777777" w:rsidR="00B0258F" w:rsidRDefault="00B0258F" w:rsidP="7F582EEE">
      <w:pPr>
        <w:spacing w:after="0" w:line="257" w:lineRule="auto"/>
        <w:jc w:val="both"/>
        <w:rPr>
          <w:rFonts w:eastAsia="Arial" w:cs="Arial"/>
          <w:szCs w:val="20"/>
        </w:rPr>
      </w:pPr>
    </w:p>
    <w:p w14:paraId="3C212913" w14:textId="02FAAA90" w:rsidR="444A5550" w:rsidRDefault="444A5550" w:rsidP="7F582EEE">
      <w:pPr>
        <w:spacing w:after="0" w:line="257" w:lineRule="auto"/>
        <w:jc w:val="both"/>
        <w:rPr>
          <w:rFonts w:eastAsia="Arial" w:cs="Arial"/>
          <w:szCs w:val="20"/>
        </w:rPr>
      </w:pPr>
      <w:r w:rsidRPr="3BD993EA">
        <w:rPr>
          <w:rFonts w:eastAsia="Arial" w:cs="Arial"/>
          <w:szCs w:val="20"/>
        </w:rPr>
        <w:t>Na račun na račun obeh zmanjšanj se poveča vrednost v okviru kode razsežnosti področje ukrepanja 54 Visoko učinkovita soproizvodnja, daljinsko ogrevanje in hlajenje in sicer iz vrednosti 9.200.000,00 EUR na vrednost 20.100,000.00 EUR.</w:t>
      </w:r>
    </w:p>
    <w:p w14:paraId="1787056E" w14:textId="63514C96" w:rsidR="444A5550" w:rsidRDefault="444A5550" w:rsidP="7F582EEE">
      <w:pPr>
        <w:spacing w:after="0" w:line="257" w:lineRule="auto"/>
        <w:jc w:val="both"/>
        <w:rPr>
          <w:rFonts w:eastAsia="Arial" w:cs="Arial"/>
          <w:szCs w:val="20"/>
        </w:rPr>
      </w:pPr>
      <w:r w:rsidRPr="3BD993EA">
        <w:rPr>
          <w:rFonts w:eastAsia="Arial" w:cs="Arial"/>
          <w:szCs w:val="20"/>
        </w:rPr>
        <w:t xml:space="preserve"> </w:t>
      </w:r>
    </w:p>
    <w:p w14:paraId="3B773B9E" w14:textId="5834AC1D" w:rsidR="00784805" w:rsidRDefault="00784805" w:rsidP="00784805">
      <w:pPr>
        <w:pStyle w:val="Napis"/>
        <w:keepNext/>
        <w:spacing w:after="0"/>
        <w:rPr>
          <w:i w:val="0"/>
          <w:iCs w:val="0"/>
          <w:color w:val="auto"/>
          <w:sz w:val="20"/>
          <w:szCs w:val="20"/>
        </w:rPr>
      </w:pPr>
      <w:bookmarkStart w:id="219" w:name="_Toc191459966"/>
      <w:r w:rsidRPr="00784805">
        <w:rPr>
          <w:i w:val="0"/>
          <w:iCs w:val="0"/>
          <w:color w:val="auto"/>
          <w:sz w:val="20"/>
          <w:szCs w:val="20"/>
        </w:rPr>
        <w:t xml:space="preserve">Tabela </w:t>
      </w:r>
      <w:r w:rsidRPr="00784805">
        <w:rPr>
          <w:i w:val="0"/>
          <w:iCs w:val="0"/>
          <w:color w:val="auto"/>
          <w:sz w:val="20"/>
          <w:szCs w:val="20"/>
        </w:rPr>
        <w:fldChar w:fldCharType="begin"/>
      </w:r>
      <w:r w:rsidRPr="00784805">
        <w:rPr>
          <w:i w:val="0"/>
          <w:iCs w:val="0"/>
          <w:color w:val="auto"/>
          <w:sz w:val="20"/>
          <w:szCs w:val="20"/>
        </w:rPr>
        <w:instrText xml:space="preserve"> SEQ Tabela \* ARABIC </w:instrText>
      </w:r>
      <w:r w:rsidRPr="00784805">
        <w:rPr>
          <w:i w:val="0"/>
          <w:iCs w:val="0"/>
          <w:color w:val="auto"/>
          <w:sz w:val="20"/>
          <w:szCs w:val="20"/>
        </w:rPr>
        <w:fldChar w:fldCharType="separate"/>
      </w:r>
      <w:r w:rsidRPr="00784805">
        <w:rPr>
          <w:i w:val="0"/>
          <w:iCs w:val="0"/>
          <w:noProof/>
          <w:color w:val="auto"/>
          <w:sz w:val="20"/>
          <w:szCs w:val="20"/>
        </w:rPr>
        <w:t>22</w:t>
      </w:r>
      <w:r w:rsidRPr="00784805">
        <w:rPr>
          <w:i w:val="0"/>
          <w:iCs w:val="0"/>
          <w:color w:val="auto"/>
          <w:sz w:val="20"/>
          <w:szCs w:val="20"/>
        </w:rPr>
        <w:fldChar w:fldCharType="end"/>
      </w:r>
      <w:r w:rsidRPr="00784805">
        <w:rPr>
          <w:i w:val="0"/>
          <w:iCs w:val="0"/>
          <w:color w:val="auto"/>
          <w:sz w:val="20"/>
          <w:szCs w:val="20"/>
        </w:rPr>
        <w:t>: Sprememba vrednosti v okviru kod razsežnosti »področje ukrepanja«</w:t>
      </w:r>
      <w:bookmarkEnd w:id="219"/>
    </w:p>
    <w:p w14:paraId="79C3A083" w14:textId="77777777" w:rsidR="00784805" w:rsidRPr="00784805" w:rsidRDefault="00784805" w:rsidP="0078480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7"/>
        <w:gridCol w:w="1527"/>
        <w:gridCol w:w="1773"/>
        <w:gridCol w:w="1440"/>
      </w:tblGrid>
      <w:tr w:rsidR="3BD993EA" w14:paraId="7BCAFB3E" w14:textId="77777777" w:rsidTr="000107C9">
        <w:trPr>
          <w:trHeight w:val="510"/>
        </w:trPr>
        <w:tc>
          <w:tcPr>
            <w:tcW w:w="3747" w:type="dxa"/>
            <w:shd w:val="clear" w:color="auto" w:fill="D9E2F3" w:themeFill="accent1" w:themeFillTint="33"/>
            <w:tcMar>
              <w:left w:w="70" w:type="dxa"/>
              <w:right w:w="70" w:type="dxa"/>
            </w:tcMar>
            <w:vAlign w:val="bottom"/>
          </w:tcPr>
          <w:p w14:paraId="64B9642C" w14:textId="73F3909C" w:rsidR="3BD993EA" w:rsidRDefault="3BD993EA" w:rsidP="7F582EEE">
            <w:pPr>
              <w:spacing w:after="0"/>
              <w:rPr>
                <w:rFonts w:eastAsia="Arial" w:cs="Arial"/>
                <w:color w:val="000000" w:themeColor="text1"/>
                <w:szCs w:val="20"/>
              </w:rPr>
            </w:pPr>
            <w:r w:rsidRPr="3BD993EA">
              <w:rPr>
                <w:rFonts w:eastAsia="Arial" w:cs="Arial"/>
                <w:color w:val="000000" w:themeColor="text1"/>
                <w:szCs w:val="20"/>
              </w:rPr>
              <w:t>Področje ukrepanja</w:t>
            </w:r>
          </w:p>
        </w:tc>
        <w:tc>
          <w:tcPr>
            <w:tcW w:w="1527" w:type="dxa"/>
            <w:shd w:val="clear" w:color="auto" w:fill="D9E2F3" w:themeFill="accent1" w:themeFillTint="33"/>
            <w:tcMar>
              <w:left w:w="70" w:type="dxa"/>
              <w:right w:w="70" w:type="dxa"/>
            </w:tcMar>
            <w:vAlign w:val="bottom"/>
          </w:tcPr>
          <w:p w14:paraId="635CB16C" w14:textId="7B9D2748" w:rsidR="3BD993EA" w:rsidRDefault="3BD993EA" w:rsidP="7F582EEE">
            <w:pPr>
              <w:spacing w:after="0"/>
              <w:rPr>
                <w:rFonts w:eastAsia="Arial" w:cs="Arial"/>
                <w:color w:val="000000" w:themeColor="text1"/>
                <w:szCs w:val="20"/>
              </w:rPr>
            </w:pPr>
            <w:r w:rsidRPr="3BD993EA">
              <w:rPr>
                <w:rFonts w:eastAsia="Arial" w:cs="Arial"/>
                <w:color w:val="000000" w:themeColor="text1"/>
                <w:szCs w:val="20"/>
              </w:rPr>
              <w:t>Podpora unije</w:t>
            </w:r>
          </w:p>
        </w:tc>
        <w:tc>
          <w:tcPr>
            <w:tcW w:w="1773" w:type="dxa"/>
            <w:shd w:val="clear" w:color="auto" w:fill="D9E2F3" w:themeFill="accent1" w:themeFillTint="33"/>
            <w:tcMar>
              <w:left w:w="70" w:type="dxa"/>
              <w:right w:w="70" w:type="dxa"/>
            </w:tcMar>
            <w:vAlign w:val="bottom"/>
          </w:tcPr>
          <w:p w14:paraId="4F7F32CB" w14:textId="347C98C8" w:rsidR="3BD993EA" w:rsidRDefault="3BD993EA" w:rsidP="7F582EEE">
            <w:pPr>
              <w:spacing w:after="0"/>
              <w:rPr>
                <w:rFonts w:eastAsia="Arial" w:cs="Arial"/>
                <w:color w:val="000000" w:themeColor="text1"/>
                <w:szCs w:val="20"/>
              </w:rPr>
            </w:pPr>
            <w:r w:rsidRPr="3BD993EA">
              <w:rPr>
                <w:rFonts w:eastAsia="Arial" w:cs="Arial"/>
                <w:color w:val="000000" w:themeColor="text1"/>
                <w:szCs w:val="20"/>
              </w:rPr>
              <w:t xml:space="preserve">Predlog povečanja Podpore </w:t>
            </w:r>
            <w:r w:rsidR="000107C9">
              <w:rPr>
                <w:rFonts w:eastAsia="Arial" w:cs="Arial"/>
                <w:color w:val="000000" w:themeColor="text1"/>
                <w:szCs w:val="20"/>
              </w:rPr>
              <w:t>u</w:t>
            </w:r>
            <w:r w:rsidRPr="3BD993EA">
              <w:rPr>
                <w:rFonts w:eastAsia="Arial" w:cs="Arial"/>
                <w:color w:val="000000" w:themeColor="text1"/>
                <w:szCs w:val="20"/>
              </w:rPr>
              <w:t>nije</w:t>
            </w:r>
          </w:p>
        </w:tc>
        <w:tc>
          <w:tcPr>
            <w:tcW w:w="1440" w:type="dxa"/>
            <w:shd w:val="clear" w:color="auto" w:fill="D9E2F3" w:themeFill="accent1" w:themeFillTint="33"/>
            <w:tcMar>
              <w:left w:w="70" w:type="dxa"/>
              <w:right w:w="70" w:type="dxa"/>
            </w:tcMar>
            <w:vAlign w:val="bottom"/>
          </w:tcPr>
          <w:p w14:paraId="2E818441" w14:textId="252D9CEE" w:rsidR="3BD993EA" w:rsidRDefault="3BD993EA" w:rsidP="7F582EEE">
            <w:pPr>
              <w:spacing w:after="0"/>
              <w:jc w:val="right"/>
              <w:rPr>
                <w:rFonts w:eastAsia="Arial" w:cs="Arial"/>
                <w:color w:val="000000" w:themeColor="text1"/>
                <w:szCs w:val="20"/>
              </w:rPr>
            </w:pPr>
            <w:r w:rsidRPr="3BD993EA">
              <w:rPr>
                <w:rFonts w:eastAsia="Arial" w:cs="Arial"/>
                <w:color w:val="000000" w:themeColor="text1"/>
                <w:szCs w:val="20"/>
              </w:rPr>
              <w:t>Podpora unije po spremembi</w:t>
            </w:r>
          </w:p>
        </w:tc>
      </w:tr>
      <w:tr w:rsidR="3BD993EA" w14:paraId="2F630A70" w14:textId="77777777" w:rsidTr="000107C9">
        <w:trPr>
          <w:trHeight w:val="885"/>
        </w:trPr>
        <w:tc>
          <w:tcPr>
            <w:tcW w:w="3747" w:type="dxa"/>
            <w:tcMar>
              <w:left w:w="70" w:type="dxa"/>
              <w:right w:w="70" w:type="dxa"/>
            </w:tcMar>
            <w:vAlign w:val="bottom"/>
          </w:tcPr>
          <w:p w14:paraId="057D7906" w14:textId="59F9D101" w:rsidR="3BD993EA" w:rsidRDefault="3BD993EA" w:rsidP="7F582EEE">
            <w:pPr>
              <w:spacing w:after="0"/>
              <w:jc w:val="both"/>
              <w:rPr>
                <w:rFonts w:eastAsia="Arial" w:cs="Arial"/>
                <w:color w:val="000000" w:themeColor="text1"/>
                <w:szCs w:val="20"/>
              </w:rPr>
            </w:pPr>
            <w:r w:rsidRPr="3BD993EA">
              <w:rPr>
                <w:rFonts w:eastAsia="Arial" w:cs="Arial"/>
                <w:color w:val="000000" w:themeColor="text1"/>
                <w:szCs w:val="20"/>
              </w:rPr>
              <w:t>054. Visoko učinkovita soproizvodnja toplote in električne energije, daljinsko ogrevanje in hlajenje</w:t>
            </w:r>
          </w:p>
        </w:tc>
        <w:tc>
          <w:tcPr>
            <w:tcW w:w="1527" w:type="dxa"/>
            <w:tcMar>
              <w:left w:w="70" w:type="dxa"/>
              <w:right w:w="70" w:type="dxa"/>
            </w:tcMar>
            <w:vAlign w:val="bottom"/>
          </w:tcPr>
          <w:p w14:paraId="25B539DF" w14:textId="03E2CD52" w:rsidR="3BD993EA" w:rsidRDefault="3BD993EA" w:rsidP="7F582EEE">
            <w:pPr>
              <w:spacing w:after="0"/>
              <w:jc w:val="right"/>
              <w:rPr>
                <w:rFonts w:eastAsia="Arial" w:cs="Arial"/>
                <w:color w:val="000000" w:themeColor="text1"/>
                <w:szCs w:val="20"/>
              </w:rPr>
            </w:pPr>
            <w:r w:rsidRPr="3BD993EA">
              <w:rPr>
                <w:rFonts w:eastAsia="Arial" w:cs="Arial"/>
                <w:color w:val="000000" w:themeColor="text1"/>
                <w:szCs w:val="20"/>
              </w:rPr>
              <w:t>9.200.000,00</w:t>
            </w:r>
          </w:p>
        </w:tc>
        <w:tc>
          <w:tcPr>
            <w:tcW w:w="1773" w:type="dxa"/>
            <w:tcMar>
              <w:left w:w="70" w:type="dxa"/>
              <w:right w:w="70" w:type="dxa"/>
            </w:tcMar>
            <w:vAlign w:val="bottom"/>
          </w:tcPr>
          <w:p w14:paraId="3F153566" w14:textId="1EDBEF7F" w:rsidR="3BD993EA" w:rsidRDefault="3BD993EA" w:rsidP="7F582EEE">
            <w:pPr>
              <w:spacing w:after="0"/>
              <w:jc w:val="right"/>
              <w:rPr>
                <w:rFonts w:eastAsia="Arial" w:cs="Arial"/>
                <w:color w:val="000000" w:themeColor="text1"/>
                <w:szCs w:val="20"/>
              </w:rPr>
            </w:pPr>
            <w:r w:rsidRPr="3BD993EA">
              <w:rPr>
                <w:rFonts w:eastAsia="Arial" w:cs="Arial"/>
                <w:color w:val="000000" w:themeColor="text1"/>
                <w:szCs w:val="20"/>
              </w:rPr>
              <w:t xml:space="preserve"> 10.900.000,00</w:t>
            </w:r>
          </w:p>
        </w:tc>
        <w:tc>
          <w:tcPr>
            <w:tcW w:w="1440" w:type="dxa"/>
            <w:tcMar>
              <w:left w:w="70" w:type="dxa"/>
              <w:right w:w="70" w:type="dxa"/>
            </w:tcMar>
            <w:vAlign w:val="bottom"/>
          </w:tcPr>
          <w:p w14:paraId="45A024C9" w14:textId="012D50A8" w:rsidR="3BD993EA" w:rsidRDefault="3BD993EA" w:rsidP="7F582EEE">
            <w:pPr>
              <w:spacing w:after="0"/>
              <w:jc w:val="right"/>
              <w:rPr>
                <w:rFonts w:eastAsia="Arial" w:cs="Arial"/>
                <w:color w:val="000000" w:themeColor="text1"/>
                <w:szCs w:val="20"/>
              </w:rPr>
            </w:pPr>
            <w:r w:rsidRPr="3BD993EA">
              <w:rPr>
                <w:rFonts w:eastAsia="Arial" w:cs="Arial"/>
                <w:color w:val="000000" w:themeColor="text1"/>
                <w:szCs w:val="20"/>
              </w:rPr>
              <w:t>20.100.000,00</w:t>
            </w:r>
          </w:p>
        </w:tc>
      </w:tr>
      <w:tr w:rsidR="3BD993EA" w14:paraId="3308C2CF" w14:textId="77777777" w:rsidTr="000107C9">
        <w:trPr>
          <w:trHeight w:val="900"/>
        </w:trPr>
        <w:tc>
          <w:tcPr>
            <w:tcW w:w="3747" w:type="dxa"/>
            <w:tcMar>
              <w:left w:w="70" w:type="dxa"/>
              <w:right w:w="70" w:type="dxa"/>
            </w:tcMar>
            <w:vAlign w:val="bottom"/>
          </w:tcPr>
          <w:p w14:paraId="73A00C6B" w14:textId="07D96241" w:rsidR="3BD993EA" w:rsidRDefault="3BD993EA" w:rsidP="7F582EEE">
            <w:pPr>
              <w:spacing w:after="0"/>
              <w:jc w:val="both"/>
              <w:rPr>
                <w:rFonts w:eastAsia="Arial" w:cs="Arial"/>
                <w:color w:val="000000" w:themeColor="text1"/>
                <w:szCs w:val="20"/>
              </w:rPr>
            </w:pPr>
            <w:r w:rsidRPr="3BD993EA">
              <w:rPr>
                <w:rFonts w:eastAsia="Arial" w:cs="Arial"/>
                <w:color w:val="000000" w:themeColor="text1"/>
                <w:szCs w:val="20"/>
              </w:rPr>
              <w:t>055. Visoko učinkovita soproizvodnja toplote in električne energije, daljinsko ogrevanje in hlajenje z nizkimi emisijami v življenjskem ciklu</w:t>
            </w:r>
          </w:p>
        </w:tc>
        <w:tc>
          <w:tcPr>
            <w:tcW w:w="1527" w:type="dxa"/>
            <w:tcMar>
              <w:left w:w="70" w:type="dxa"/>
              <w:right w:w="70" w:type="dxa"/>
            </w:tcMar>
            <w:vAlign w:val="bottom"/>
          </w:tcPr>
          <w:p w14:paraId="7142F26B" w14:textId="6FF72631" w:rsidR="3BD993EA" w:rsidRDefault="3BD993EA" w:rsidP="7F582EEE">
            <w:pPr>
              <w:spacing w:after="0"/>
              <w:jc w:val="right"/>
              <w:rPr>
                <w:rFonts w:eastAsia="Arial" w:cs="Arial"/>
                <w:color w:val="000000" w:themeColor="text1"/>
                <w:szCs w:val="20"/>
              </w:rPr>
            </w:pPr>
            <w:r w:rsidRPr="3BD993EA">
              <w:rPr>
                <w:rFonts w:eastAsia="Arial" w:cs="Arial"/>
                <w:color w:val="000000" w:themeColor="text1"/>
                <w:szCs w:val="20"/>
              </w:rPr>
              <w:t>9.250.000,00</w:t>
            </w:r>
          </w:p>
        </w:tc>
        <w:tc>
          <w:tcPr>
            <w:tcW w:w="1773" w:type="dxa"/>
            <w:tcMar>
              <w:left w:w="70" w:type="dxa"/>
              <w:right w:w="70" w:type="dxa"/>
            </w:tcMar>
            <w:vAlign w:val="bottom"/>
          </w:tcPr>
          <w:p w14:paraId="3A1AA3E6" w14:textId="0244F583" w:rsidR="3BD993EA" w:rsidRDefault="3BD993EA" w:rsidP="7F582EEE">
            <w:pPr>
              <w:spacing w:after="0"/>
              <w:jc w:val="right"/>
              <w:rPr>
                <w:rFonts w:eastAsia="Arial" w:cs="Arial"/>
                <w:color w:val="000000" w:themeColor="text1"/>
                <w:szCs w:val="20"/>
              </w:rPr>
            </w:pPr>
            <w:r w:rsidRPr="3BD993EA">
              <w:rPr>
                <w:rFonts w:eastAsia="Arial" w:cs="Arial"/>
                <w:color w:val="000000" w:themeColor="text1"/>
                <w:szCs w:val="20"/>
              </w:rPr>
              <w:t xml:space="preserve"> -9.250.000,00</w:t>
            </w:r>
          </w:p>
        </w:tc>
        <w:tc>
          <w:tcPr>
            <w:tcW w:w="1440" w:type="dxa"/>
            <w:tcMar>
              <w:left w:w="70" w:type="dxa"/>
              <w:right w:w="70" w:type="dxa"/>
            </w:tcMar>
            <w:vAlign w:val="bottom"/>
          </w:tcPr>
          <w:p w14:paraId="5609C08D" w14:textId="0D2F6CBD" w:rsidR="3BD993EA" w:rsidRDefault="3BD993EA" w:rsidP="7F582EEE">
            <w:pPr>
              <w:spacing w:after="0"/>
              <w:jc w:val="right"/>
              <w:rPr>
                <w:rFonts w:eastAsia="Arial" w:cs="Arial"/>
                <w:color w:val="000000" w:themeColor="text1"/>
                <w:szCs w:val="20"/>
              </w:rPr>
            </w:pPr>
            <w:r w:rsidRPr="3BD993EA">
              <w:rPr>
                <w:rFonts w:eastAsia="Arial" w:cs="Arial"/>
                <w:color w:val="000000" w:themeColor="text1"/>
                <w:szCs w:val="20"/>
              </w:rPr>
              <w:t>0,00</w:t>
            </w:r>
          </w:p>
        </w:tc>
      </w:tr>
      <w:tr w:rsidR="3BD993EA" w14:paraId="655430F2" w14:textId="77777777" w:rsidTr="000107C9">
        <w:trPr>
          <w:trHeight w:val="855"/>
        </w:trPr>
        <w:tc>
          <w:tcPr>
            <w:tcW w:w="3747" w:type="dxa"/>
            <w:tcMar>
              <w:left w:w="70" w:type="dxa"/>
              <w:right w:w="70" w:type="dxa"/>
            </w:tcMar>
            <w:vAlign w:val="bottom"/>
          </w:tcPr>
          <w:p w14:paraId="061B2A52" w14:textId="4559C4ED" w:rsidR="3BD993EA" w:rsidRDefault="3BD993EA" w:rsidP="7F582EEE">
            <w:pPr>
              <w:spacing w:after="0"/>
              <w:rPr>
                <w:rFonts w:eastAsia="Arial" w:cs="Arial"/>
                <w:color w:val="000000" w:themeColor="text1"/>
                <w:szCs w:val="20"/>
              </w:rPr>
            </w:pPr>
            <w:r w:rsidRPr="3BD993EA">
              <w:rPr>
                <w:rFonts w:eastAsia="Arial" w:cs="Arial"/>
                <w:color w:val="000000" w:themeColor="text1"/>
                <w:szCs w:val="20"/>
              </w:rPr>
              <w:t>053. Pametni energetski sistemi (vključno s pametnimi omrežji in sistemi IKT) ter povezano shranjevanje</w:t>
            </w:r>
          </w:p>
        </w:tc>
        <w:tc>
          <w:tcPr>
            <w:tcW w:w="1527" w:type="dxa"/>
            <w:tcMar>
              <w:left w:w="70" w:type="dxa"/>
              <w:right w:w="70" w:type="dxa"/>
            </w:tcMar>
            <w:vAlign w:val="bottom"/>
          </w:tcPr>
          <w:p w14:paraId="691DD676" w14:textId="4E61F8DE" w:rsidR="3BD993EA" w:rsidRDefault="3BD993EA" w:rsidP="7F582EEE">
            <w:pPr>
              <w:spacing w:after="0"/>
              <w:jc w:val="right"/>
              <w:rPr>
                <w:rFonts w:eastAsia="Arial" w:cs="Arial"/>
                <w:color w:val="000000" w:themeColor="text1"/>
                <w:szCs w:val="20"/>
              </w:rPr>
            </w:pPr>
            <w:r w:rsidRPr="3BD993EA">
              <w:rPr>
                <w:rFonts w:eastAsia="Arial" w:cs="Arial"/>
                <w:color w:val="000000" w:themeColor="text1"/>
                <w:szCs w:val="20"/>
              </w:rPr>
              <w:t>5.200.000,00</w:t>
            </w:r>
          </w:p>
        </w:tc>
        <w:tc>
          <w:tcPr>
            <w:tcW w:w="1773" w:type="dxa"/>
            <w:tcMar>
              <w:left w:w="70" w:type="dxa"/>
              <w:right w:w="70" w:type="dxa"/>
            </w:tcMar>
          </w:tcPr>
          <w:p w14:paraId="154CF3CD" w14:textId="013B805A" w:rsidR="3BD993EA" w:rsidRDefault="3BD993EA" w:rsidP="7F582EEE">
            <w:pPr>
              <w:spacing w:after="0"/>
              <w:jc w:val="right"/>
              <w:rPr>
                <w:rFonts w:eastAsia="Arial" w:cs="Arial"/>
                <w:color w:val="000000" w:themeColor="text1"/>
                <w:szCs w:val="20"/>
              </w:rPr>
            </w:pPr>
            <w:r w:rsidRPr="3BD993EA">
              <w:rPr>
                <w:rFonts w:eastAsia="Arial" w:cs="Arial"/>
                <w:color w:val="000000" w:themeColor="text1"/>
                <w:szCs w:val="20"/>
              </w:rPr>
              <w:t xml:space="preserve"> </w:t>
            </w:r>
          </w:p>
          <w:p w14:paraId="3D5129BC" w14:textId="484F318A" w:rsidR="3BD993EA" w:rsidRDefault="3BD993EA" w:rsidP="7F582EEE">
            <w:pPr>
              <w:spacing w:after="0"/>
              <w:jc w:val="right"/>
              <w:rPr>
                <w:rFonts w:eastAsia="Arial" w:cs="Arial"/>
                <w:color w:val="000000" w:themeColor="text1"/>
                <w:szCs w:val="20"/>
              </w:rPr>
            </w:pPr>
            <w:r w:rsidRPr="3BD993EA">
              <w:rPr>
                <w:rFonts w:eastAsia="Arial" w:cs="Arial"/>
                <w:color w:val="000000" w:themeColor="text1"/>
                <w:szCs w:val="20"/>
              </w:rPr>
              <w:t xml:space="preserve"> </w:t>
            </w:r>
          </w:p>
          <w:p w14:paraId="7035F1C7" w14:textId="45C00D38" w:rsidR="3BD993EA" w:rsidRDefault="3BD993EA" w:rsidP="7F582EEE">
            <w:pPr>
              <w:spacing w:after="0"/>
              <w:jc w:val="right"/>
              <w:rPr>
                <w:rFonts w:eastAsia="Arial" w:cs="Arial"/>
                <w:color w:val="000000" w:themeColor="text1"/>
                <w:szCs w:val="20"/>
              </w:rPr>
            </w:pPr>
            <w:r w:rsidRPr="3BD993EA">
              <w:rPr>
                <w:rFonts w:eastAsia="Arial" w:cs="Arial"/>
                <w:color w:val="000000" w:themeColor="text1"/>
                <w:szCs w:val="20"/>
              </w:rPr>
              <w:t xml:space="preserve"> </w:t>
            </w:r>
          </w:p>
          <w:p w14:paraId="3104A70D" w14:textId="17C21887" w:rsidR="3BD993EA" w:rsidRDefault="3BD993EA" w:rsidP="7F582EEE">
            <w:pPr>
              <w:spacing w:after="0"/>
              <w:jc w:val="right"/>
              <w:rPr>
                <w:rFonts w:eastAsia="Arial" w:cs="Arial"/>
                <w:color w:val="000000" w:themeColor="text1"/>
                <w:szCs w:val="20"/>
              </w:rPr>
            </w:pPr>
            <w:r w:rsidRPr="3BD993EA">
              <w:rPr>
                <w:rFonts w:eastAsia="Arial" w:cs="Arial"/>
                <w:color w:val="000000" w:themeColor="text1"/>
                <w:szCs w:val="20"/>
              </w:rPr>
              <w:t>-1.650.000,00</w:t>
            </w:r>
          </w:p>
        </w:tc>
        <w:tc>
          <w:tcPr>
            <w:tcW w:w="1440" w:type="dxa"/>
            <w:tcMar>
              <w:left w:w="70" w:type="dxa"/>
              <w:right w:w="70" w:type="dxa"/>
            </w:tcMar>
            <w:vAlign w:val="bottom"/>
          </w:tcPr>
          <w:p w14:paraId="613AF9D1" w14:textId="10D2A2FD" w:rsidR="3BD993EA" w:rsidRDefault="3BD993EA" w:rsidP="7F582EEE">
            <w:pPr>
              <w:spacing w:after="0"/>
              <w:jc w:val="right"/>
              <w:rPr>
                <w:rFonts w:eastAsia="Arial" w:cs="Arial"/>
                <w:color w:val="000000" w:themeColor="text1"/>
                <w:szCs w:val="20"/>
              </w:rPr>
            </w:pPr>
            <w:r w:rsidRPr="3BD993EA">
              <w:rPr>
                <w:rFonts w:eastAsia="Arial" w:cs="Arial"/>
                <w:color w:val="000000" w:themeColor="text1"/>
                <w:szCs w:val="20"/>
              </w:rPr>
              <w:t>3.550.000,00</w:t>
            </w:r>
          </w:p>
        </w:tc>
      </w:tr>
      <w:tr w:rsidR="3BD993EA" w14:paraId="49F8123F" w14:textId="77777777" w:rsidTr="000107C9">
        <w:trPr>
          <w:trHeight w:val="300"/>
        </w:trPr>
        <w:tc>
          <w:tcPr>
            <w:tcW w:w="3747" w:type="dxa"/>
            <w:tcMar>
              <w:left w:w="70" w:type="dxa"/>
              <w:right w:w="70" w:type="dxa"/>
            </w:tcMar>
            <w:vAlign w:val="bottom"/>
          </w:tcPr>
          <w:p w14:paraId="6897DBF7" w14:textId="53B3D270" w:rsidR="3BD993EA" w:rsidRDefault="000107C9" w:rsidP="000107C9">
            <w:pPr>
              <w:jc w:val="right"/>
            </w:pPr>
            <w:r>
              <w:t>Skupaj</w:t>
            </w:r>
          </w:p>
        </w:tc>
        <w:tc>
          <w:tcPr>
            <w:tcW w:w="1527" w:type="dxa"/>
            <w:tcMar>
              <w:left w:w="70" w:type="dxa"/>
              <w:right w:w="70" w:type="dxa"/>
            </w:tcMar>
            <w:vAlign w:val="bottom"/>
          </w:tcPr>
          <w:p w14:paraId="15BFF4E9" w14:textId="5B9EF549" w:rsidR="3BD993EA" w:rsidRDefault="3BD993EA" w:rsidP="7F582EEE">
            <w:pPr>
              <w:spacing w:after="0"/>
              <w:jc w:val="right"/>
              <w:rPr>
                <w:rFonts w:eastAsia="Arial" w:cs="Arial"/>
                <w:color w:val="000000" w:themeColor="text1"/>
                <w:szCs w:val="20"/>
              </w:rPr>
            </w:pPr>
            <w:r w:rsidRPr="3BD993EA">
              <w:rPr>
                <w:rFonts w:eastAsia="Arial" w:cs="Arial"/>
                <w:color w:val="000000" w:themeColor="text1"/>
                <w:szCs w:val="20"/>
              </w:rPr>
              <w:t>23.650.000,00</w:t>
            </w:r>
          </w:p>
        </w:tc>
        <w:tc>
          <w:tcPr>
            <w:tcW w:w="1773" w:type="dxa"/>
            <w:tcMar>
              <w:left w:w="70" w:type="dxa"/>
              <w:right w:w="70" w:type="dxa"/>
            </w:tcMar>
            <w:vAlign w:val="bottom"/>
          </w:tcPr>
          <w:p w14:paraId="05F69F17" w14:textId="0AD42429" w:rsidR="3BD993EA" w:rsidRDefault="3BD993EA" w:rsidP="7F582EEE">
            <w:pPr>
              <w:spacing w:after="0"/>
              <w:jc w:val="right"/>
              <w:rPr>
                <w:rFonts w:eastAsia="Arial" w:cs="Arial"/>
                <w:color w:val="000000" w:themeColor="text1"/>
                <w:szCs w:val="20"/>
              </w:rPr>
            </w:pPr>
            <w:r w:rsidRPr="3BD993EA">
              <w:rPr>
                <w:rFonts w:eastAsia="Arial" w:cs="Arial"/>
                <w:color w:val="000000" w:themeColor="text1"/>
                <w:szCs w:val="20"/>
              </w:rPr>
              <w:t>0,00</w:t>
            </w:r>
          </w:p>
        </w:tc>
        <w:tc>
          <w:tcPr>
            <w:tcW w:w="1440" w:type="dxa"/>
            <w:tcMar>
              <w:left w:w="70" w:type="dxa"/>
              <w:right w:w="70" w:type="dxa"/>
            </w:tcMar>
            <w:vAlign w:val="bottom"/>
          </w:tcPr>
          <w:p w14:paraId="78991AC5" w14:textId="2503BFFD" w:rsidR="3BD993EA" w:rsidRDefault="3BD993EA" w:rsidP="7F582EEE">
            <w:pPr>
              <w:spacing w:after="0"/>
              <w:jc w:val="right"/>
              <w:rPr>
                <w:rFonts w:eastAsia="Arial" w:cs="Arial"/>
                <w:b/>
                <w:bCs/>
                <w:color w:val="000000" w:themeColor="text1"/>
                <w:szCs w:val="20"/>
              </w:rPr>
            </w:pPr>
            <w:r w:rsidRPr="3BD993EA">
              <w:rPr>
                <w:rFonts w:eastAsia="Arial" w:cs="Arial"/>
                <w:b/>
                <w:bCs/>
                <w:color w:val="000000" w:themeColor="text1"/>
                <w:szCs w:val="20"/>
              </w:rPr>
              <w:t>23.650.000,00</w:t>
            </w:r>
          </w:p>
        </w:tc>
      </w:tr>
    </w:tbl>
    <w:p w14:paraId="7F78977F" w14:textId="4DA21F69" w:rsidR="444A5550" w:rsidRDefault="444A5550" w:rsidP="7F582EEE">
      <w:pPr>
        <w:spacing w:after="0" w:line="257" w:lineRule="auto"/>
        <w:jc w:val="both"/>
        <w:rPr>
          <w:rFonts w:eastAsia="Arial" w:cs="Arial"/>
          <w:szCs w:val="20"/>
        </w:rPr>
      </w:pPr>
      <w:r w:rsidRPr="3BD993EA">
        <w:rPr>
          <w:rFonts w:eastAsia="Arial" w:cs="Arial"/>
          <w:szCs w:val="20"/>
        </w:rPr>
        <w:t xml:space="preserve"> </w:t>
      </w:r>
    </w:p>
    <w:p w14:paraId="362641B3" w14:textId="7EC8AD7A" w:rsidR="444A5550" w:rsidRDefault="444A5550" w:rsidP="7F582EEE">
      <w:pPr>
        <w:spacing w:after="0" w:line="257" w:lineRule="auto"/>
        <w:jc w:val="both"/>
        <w:rPr>
          <w:rFonts w:eastAsia="Arial" w:cs="Arial"/>
          <w:szCs w:val="20"/>
        </w:rPr>
      </w:pPr>
      <w:r w:rsidRPr="3BD993EA">
        <w:rPr>
          <w:rFonts w:eastAsia="Arial" w:cs="Arial"/>
          <w:szCs w:val="20"/>
          <w:u w:val="single"/>
        </w:rPr>
        <w:t>Obrazložitev:</w:t>
      </w:r>
      <w:r w:rsidRPr="3BD993EA">
        <w:rPr>
          <w:rFonts w:eastAsia="Arial" w:cs="Arial"/>
          <w:szCs w:val="20"/>
        </w:rPr>
        <w:t xml:space="preserve"> </w:t>
      </w:r>
    </w:p>
    <w:p w14:paraId="6843CA28" w14:textId="54F9E745" w:rsidR="444A5550" w:rsidRDefault="444A5550" w:rsidP="7F582EEE">
      <w:pPr>
        <w:spacing w:after="0" w:line="257" w:lineRule="auto"/>
        <w:jc w:val="both"/>
        <w:rPr>
          <w:rFonts w:eastAsia="Arial" w:cs="Arial"/>
          <w:szCs w:val="20"/>
        </w:rPr>
      </w:pPr>
      <w:r w:rsidRPr="3BD993EA">
        <w:rPr>
          <w:rFonts w:eastAsia="Arial" w:cs="Arial"/>
          <w:i/>
          <w:iCs/>
          <w:szCs w:val="20"/>
        </w:rPr>
        <w:t>Posodobitev daljinskega ogrevanja SAŠA regije</w:t>
      </w:r>
      <w:r w:rsidRPr="3BD993EA">
        <w:rPr>
          <w:rFonts w:eastAsia="Arial" w:cs="Arial"/>
          <w:szCs w:val="20"/>
        </w:rPr>
        <w:t xml:space="preserve"> je operacija strateškega pomena CP6 v okviru Območnega načrta za pravični prehod SAŠA premogovne regije. S prerazporeditvijo se zagotavlja zaprtje finančne konstrukcije za prvo fazo posodobitve sistema ogrevanja na račun zmanjšanje sredstev za podporo projektom pridobivanja električne energije iz sončne energije v SAŠA regiji.</w:t>
      </w:r>
    </w:p>
    <w:p w14:paraId="47EBE312" w14:textId="77777777" w:rsidR="00587FDC" w:rsidRDefault="008C150B" w:rsidP="009469ED">
      <w:pPr>
        <w:pStyle w:val="Naslov1"/>
        <w:spacing w:before="0"/>
      </w:pPr>
      <w:bookmarkStart w:id="220" w:name="_Toc191383885"/>
      <w:r w:rsidRPr="000B3E1A">
        <w:lastRenderedPageBreak/>
        <w:t>OBRAZLOŽITEV</w:t>
      </w:r>
      <w:bookmarkEnd w:id="220"/>
    </w:p>
    <w:p w14:paraId="20E28780" w14:textId="77777777" w:rsidR="00A0677D" w:rsidRDefault="00A0677D" w:rsidP="00C12E77">
      <w:pPr>
        <w:pStyle w:val="Brezrazmikov"/>
        <w:jc w:val="both"/>
      </w:pPr>
    </w:p>
    <w:p w14:paraId="2D74EE07" w14:textId="77777777" w:rsidR="00A0677D" w:rsidRDefault="00A0677D" w:rsidP="00C12E77">
      <w:pPr>
        <w:pStyle w:val="Brezrazmikov"/>
        <w:jc w:val="both"/>
      </w:pPr>
      <w:r>
        <w:t>Sprememba Programa evropske kohezijske politike 2021–2027 predstavlja nujen odziv na ključne gospodarske in tehnološke izzive, s katerimi se sooča Slovenija. Prilagoditev programa omogoča osredotočenje na strateške prioritete, kot so razvoj kritičnih tehnologij, krepitev tehnološke suverenosti in pospešitev digitalne ter zelene preobrazbe. Z uvedbo novega specifičnega cilja za razvoj in proizvodnjo kritičnih tehnologij PEKP naslavlja pomanjkljivosti, identificirane v vmesnem poročilu o izvajanju EKP, in odgovarja na izzive, izpostavljene v Poročilu o produktivnosti ter Poročilu o evropski konkurenčnosti. Ti strateški premiki omogočajo, da Slovenija bolje izkoristi evropska sredstva za raziskave, razvoj in inovacije ter okrepi svojo vlogo pri doseganju ciljev platforme STEP.</w:t>
      </w:r>
    </w:p>
    <w:p w14:paraId="79DC42AE" w14:textId="77777777" w:rsidR="00A0677D" w:rsidRDefault="00A0677D" w:rsidP="00C12E77">
      <w:pPr>
        <w:pStyle w:val="Brezrazmikov"/>
        <w:jc w:val="both"/>
      </w:pPr>
    </w:p>
    <w:p w14:paraId="0DFFAD7F" w14:textId="30AF7B38" w:rsidR="00272667" w:rsidRPr="0074718D" w:rsidRDefault="00A0677D" w:rsidP="00C12E77">
      <w:pPr>
        <w:pStyle w:val="Brezrazmikov"/>
        <w:jc w:val="both"/>
        <w:rPr>
          <w:szCs w:val="20"/>
          <w:highlight w:val="yellow"/>
        </w:rPr>
      </w:pPr>
      <w:r>
        <w:t>Pomen spremembe PEKP sega onkraj trenutnih potreb, saj s podpiranjem strateških projektov krepi dolgoročno odpornost in konkurenčnost slovenskega gospodarstva. Uvedba novega specifičnega cilja omogoča boljšo integracijo Slovenije v evropske verige vrednosti in strateške projekte, kar prispeva k utrjevanju njenega položaja v inovacijskem ekosistemu EU. Ta sprememba ni zgolj prilagoditev novim gospodarskim in globalnim izzivom, temveč pomemben korak k trajnostni prihodnosti, ki temelji na naprednih tehnologijah, inovacijah in kompetencah, ki so ključne za uspešno soočanje z globalnimi izzivi ter uresničevanje vizije evropske strateške avtonomije</w:t>
      </w:r>
      <w:r w:rsidR="000F4CBC">
        <w:t>.</w:t>
      </w:r>
    </w:p>
    <w:sectPr w:rsidR="00272667" w:rsidRPr="0074718D" w:rsidSect="002048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5031F" w14:textId="77777777" w:rsidR="0055623E" w:rsidRDefault="0055623E" w:rsidP="00FE32EA">
      <w:pPr>
        <w:spacing w:after="0" w:line="240" w:lineRule="auto"/>
      </w:pPr>
      <w:r>
        <w:separator/>
      </w:r>
    </w:p>
  </w:endnote>
  <w:endnote w:type="continuationSeparator" w:id="0">
    <w:p w14:paraId="57AF2FF1" w14:textId="77777777" w:rsidR="0055623E" w:rsidRDefault="0055623E" w:rsidP="00FE32EA">
      <w:pPr>
        <w:spacing w:after="0" w:line="240" w:lineRule="auto"/>
      </w:pPr>
      <w:r>
        <w:continuationSeparator/>
      </w:r>
    </w:p>
  </w:endnote>
  <w:endnote w:type="continuationNotice" w:id="1">
    <w:p w14:paraId="03C80239" w14:textId="77777777" w:rsidR="0055623E" w:rsidRDefault="00556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318770"/>
      <w:docPartObj>
        <w:docPartGallery w:val="Page Numbers (Bottom of Page)"/>
        <w:docPartUnique/>
      </w:docPartObj>
    </w:sdtPr>
    <w:sdtEndPr/>
    <w:sdtContent>
      <w:sdt>
        <w:sdtPr>
          <w:rPr>
            <w:b/>
            <w:bCs/>
          </w:rPr>
          <w:id w:val="-1769616900"/>
          <w:docPartObj>
            <w:docPartGallery w:val="Page Numbers (Top of Page)"/>
            <w:docPartUnique/>
          </w:docPartObj>
        </w:sdtPr>
        <w:sdtEndPr/>
        <w:sdtContent>
          <w:p w14:paraId="7F377BCC" w14:textId="44E5DF03" w:rsidR="001D2761" w:rsidRDefault="001D2761" w:rsidP="00380B14">
            <w:pPr>
              <w:pStyle w:val="Noga"/>
              <w:jc w:val="right"/>
            </w:pPr>
            <w:r w:rsidRPr="00880950">
              <w:t>Stran</w:t>
            </w:r>
            <w:r w:rsidRPr="00E00C61">
              <w:rPr>
                <w:b/>
                <w:bCs/>
              </w:rPr>
              <w:t xml:space="preserve"> </w:t>
            </w:r>
            <w:r w:rsidRPr="00880950">
              <w:rPr>
                <w:b/>
                <w:bCs/>
                <w:sz w:val="24"/>
                <w:szCs w:val="24"/>
              </w:rPr>
              <w:fldChar w:fldCharType="begin"/>
            </w:r>
            <w:r w:rsidRPr="00880950">
              <w:rPr>
                <w:b/>
                <w:bCs/>
              </w:rPr>
              <w:instrText>PAGE</w:instrText>
            </w:r>
            <w:r w:rsidRPr="00880950">
              <w:rPr>
                <w:b/>
                <w:bCs/>
                <w:sz w:val="24"/>
                <w:szCs w:val="24"/>
              </w:rPr>
              <w:fldChar w:fldCharType="separate"/>
            </w:r>
            <w:r w:rsidR="00317046">
              <w:rPr>
                <w:b/>
                <w:bCs/>
                <w:noProof/>
              </w:rPr>
              <w:t>16</w:t>
            </w:r>
            <w:r w:rsidRPr="00880950">
              <w:rPr>
                <w:b/>
                <w:bCs/>
                <w:sz w:val="24"/>
                <w:szCs w:val="24"/>
              </w:rPr>
              <w:fldChar w:fldCharType="end"/>
            </w:r>
            <w:r w:rsidRPr="00E00C61">
              <w:rPr>
                <w:b/>
                <w:bCs/>
              </w:rPr>
              <w:t xml:space="preserve"> </w:t>
            </w:r>
            <w:r w:rsidRPr="00880950">
              <w:t>od</w:t>
            </w:r>
            <w:r w:rsidRPr="00E00C61">
              <w:rPr>
                <w:b/>
                <w:bCs/>
              </w:rPr>
              <w:t xml:space="preserve"> </w:t>
            </w:r>
            <w:r w:rsidRPr="00880950">
              <w:rPr>
                <w:b/>
                <w:bCs/>
                <w:sz w:val="24"/>
                <w:szCs w:val="24"/>
              </w:rPr>
              <w:fldChar w:fldCharType="begin"/>
            </w:r>
            <w:r w:rsidRPr="00880950">
              <w:rPr>
                <w:b/>
                <w:bCs/>
              </w:rPr>
              <w:instrText>NUMPAGES</w:instrText>
            </w:r>
            <w:r w:rsidRPr="00880950">
              <w:rPr>
                <w:b/>
                <w:bCs/>
                <w:sz w:val="24"/>
                <w:szCs w:val="24"/>
              </w:rPr>
              <w:fldChar w:fldCharType="separate"/>
            </w:r>
            <w:r w:rsidR="00317046">
              <w:rPr>
                <w:b/>
                <w:bCs/>
                <w:noProof/>
              </w:rPr>
              <w:t>33</w:t>
            </w:r>
            <w:r w:rsidRPr="00880950">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8AC2" w14:textId="77777777" w:rsidR="0055623E" w:rsidRDefault="0055623E" w:rsidP="00FE32EA">
      <w:pPr>
        <w:spacing w:after="0" w:line="240" w:lineRule="auto"/>
      </w:pPr>
      <w:r>
        <w:separator/>
      </w:r>
    </w:p>
  </w:footnote>
  <w:footnote w:type="continuationSeparator" w:id="0">
    <w:p w14:paraId="1722BB44" w14:textId="77777777" w:rsidR="0055623E" w:rsidRDefault="0055623E" w:rsidP="00FE32EA">
      <w:pPr>
        <w:spacing w:after="0" w:line="240" w:lineRule="auto"/>
      </w:pPr>
      <w:r>
        <w:continuationSeparator/>
      </w:r>
    </w:p>
  </w:footnote>
  <w:footnote w:type="continuationNotice" w:id="1">
    <w:p w14:paraId="2DF4B8D7" w14:textId="77777777" w:rsidR="0055623E" w:rsidRDefault="0055623E">
      <w:pPr>
        <w:spacing w:after="0" w:line="240" w:lineRule="auto"/>
      </w:pPr>
    </w:p>
  </w:footnote>
  <w:footnote w:id="2">
    <w:p w14:paraId="22DF62EB" w14:textId="55585F20" w:rsidR="001D2761" w:rsidRDefault="001D2761" w:rsidP="00E82112">
      <w:pPr>
        <w:pStyle w:val="Sprotnaopomba-besedilo"/>
      </w:pPr>
      <w:r w:rsidRPr="00FC5C9F">
        <w:rPr>
          <w:rStyle w:val="Sprotnaopomba-sklic"/>
          <w:sz w:val="18"/>
          <w:szCs w:val="18"/>
        </w:rPr>
        <w:footnoteRef/>
      </w:r>
      <w:r w:rsidRPr="00FC5C9F">
        <w:rPr>
          <w:sz w:val="18"/>
          <w:szCs w:val="18"/>
        </w:rPr>
        <w:t xml:space="preserve"> Poročilo o produktivnosti 2023, (2023). Ljubljana: UMAR. </w:t>
      </w:r>
    </w:p>
  </w:footnote>
  <w:footnote w:id="3">
    <w:p w14:paraId="7D16A801" w14:textId="52E65CB1" w:rsidR="001D2761" w:rsidRPr="003D7EDC" w:rsidRDefault="001D2761">
      <w:pPr>
        <w:pStyle w:val="Sprotnaopomba-besedilo"/>
        <w:rPr>
          <w:sz w:val="18"/>
          <w:szCs w:val="18"/>
        </w:rPr>
      </w:pPr>
      <w:r>
        <w:rPr>
          <w:rStyle w:val="Sprotnaopomba-sklic"/>
        </w:rPr>
        <w:footnoteRef/>
      </w:r>
      <w:r>
        <w:t xml:space="preserve"> </w:t>
      </w:r>
      <w:r w:rsidRPr="003D7EDC">
        <w:rPr>
          <w:sz w:val="18"/>
          <w:szCs w:val="18"/>
        </w:rPr>
        <w:t>Poročilo o produktivnosti 2023, (2023). Ljubljana: UMAR.</w:t>
      </w:r>
    </w:p>
  </w:footnote>
  <w:footnote w:id="4">
    <w:p w14:paraId="66B6F0B9" w14:textId="3A3CAA17" w:rsidR="001D2761" w:rsidRPr="003D7EDC" w:rsidRDefault="001D2761">
      <w:pPr>
        <w:pStyle w:val="Sprotnaopomba-besedilo"/>
        <w:rPr>
          <w:sz w:val="18"/>
          <w:szCs w:val="18"/>
        </w:rPr>
      </w:pPr>
      <w:r w:rsidRPr="003D7EDC">
        <w:rPr>
          <w:rStyle w:val="Sprotnaopomba-sklic"/>
          <w:sz w:val="18"/>
          <w:szCs w:val="18"/>
        </w:rPr>
        <w:footnoteRef/>
      </w:r>
      <w:r w:rsidRPr="003D7EDC">
        <w:rPr>
          <w:sz w:val="18"/>
          <w:szCs w:val="18"/>
        </w:rPr>
        <w:t xml:space="preserve"> Prav tam.</w:t>
      </w:r>
    </w:p>
  </w:footnote>
  <w:footnote w:id="5">
    <w:p w14:paraId="6EE29E3F" w14:textId="74A0BD96" w:rsidR="001D2761" w:rsidRPr="003D7EDC" w:rsidRDefault="001D2761" w:rsidP="00E82112">
      <w:pPr>
        <w:pStyle w:val="Sprotnaopomba-besedilo"/>
        <w:rPr>
          <w:sz w:val="18"/>
          <w:szCs w:val="18"/>
        </w:rPr>
      </w:pPr>
      <w:r w:rsidRPr="003D7EDC">
        <w:rPr>
          <w:rStyle w:val="Sprotnaopomba-sklic"/>
          <w:sz w:val="18"/>
          <w:szCs w:val="18"/>
        </w:rPr>
        <w:footnoteRef/>
      </w:r>
      <w:r w:rsidRPr="003D7EDC">
        <w:rPr>
          <w:sz w:val="18"/>
          <w:szCs w:val="18"/>
        </w:rPr>
        <w:t xml:space="preserve"> EU </w:t>
      </w:r>
      <w:proofErr w:type="spellStart"/>
      <w:r w:rsidRPr="003D7EDC">
        <w:rPr>
          <w:sz w:val="18"/>
          <w:szCs w:val="18"/>
        </w:rPr>
        <w:t>competitiveness</w:t>
      </w:r>
      <w:proofErr w:type="spellEnd"/>
      <w:r w:rsidRPr="003D7EDC">
        <w:rPr>
          <w:sz w:val="18"/>
          <w:szCs w:val="18"/>
        </w:rPr>
        <w:t xml:space="preserve">, </w:t>
      </w:r>
      <w:proofErr w:type="spellStart"/>
      <w:r w:rsidRPr="003D7EDC">
        <w:rPr>
          <w:sz w:val="18"/>
          <w:szCs w:val="18"/>
        </w:rPr>
        <w:t>Looking</w:t>
      </w:r>
      <w:proofErr w:type="spellEnd"/>
      <w:r w:rsidRPr="003D7EDC">
        <w:rPr>
          <w:sz w:val="18"/>
          <w:szCs w:val="18"/>
        </w:rPr>
        <w:t xml:space="preserve"> </w:t>
      </w:r>
      <w:proofErr w:type="spellStart"/>
      <w:r w:rsidRPr="003D7EDC">
        <w:rPr>
          <w:sz w:val="18"/>
          <w:szCs w:val="18"/>
        </w:rPr>
        <w:t>ahead</w:t>
      </w:r>
      <w:proofErr w:type="spellEnd"/>
      <w:r w:rsidRPr="003D7EDC">
        <w:rPr>
          <w:sz w:val="18"/>
          <w:szCs w:val="18"/>
        </w:rPr>
        <w:t xml:space="preserve">, </w:t>
      </w:r>
      <w:proofErr w:type="spellStart"/>
      <w:r w:rsidRPr="003D7EDC">
        <w:rPr>
          <w:sz w:val="18"/>
          <w:szCs w:val="18"/>
        </w:rPr>
        <w:t>Directorate</w:t>
      </w:r>
      <w:proofErr w:type="spellEnd"/>
      <w:r w:rsidRPr="003D7EDC">
        <w:rPr>
          <w:sz w:val="18"/>
          <w:szCs w:val="18"/>
        </w:rPr>
        <w:t xml:space="preserve">-General </w:t>
      </w:r>
      <w:proofErr w:type="spellStart"/>
      <w:r w:rsidRPr="003D7EDC">
        <w:rPr>
          <w:sz w:val="18"/>
          <w:szCs w:val="18"/>
        </w:rPr>
        <w:t>for</w:t>
      </w:r>
      <w:proofErr w:type="spellEnd"/>
      <w:r w:rsidRPr="003D7EDC">
        <w:rPr>
          <w:sz w:val="18"/>
          <w:szCs w:val="18"/>
        </w:rPr>
        <w:t xml:space="preserve"> </w:t>
      </w:r>
      <w:proofErr w:type="spellStart"/>
      <w:r w:rsidRPr="003D7EDC">
        <w:rPr>
          <w:sz w:val="18"/>
          <w:szCs w:val="18"/>
        </w:rPr>
        <w:t>Communicatio</w:t>
      </w:r>
      <w:proofErr w:type="spellEnd"/>
      <w:r w:rsidR="00181B2D">
        <w:rPr>
          <w:sz w:val="18"/>
          <w:szCs w:val="18"/>
        </w:rPr>
        <w:t>.</w:t>
      </w:r>
    </w:p>
  </w:footnote>
  <w:footnote w:id="6">
    <w:p w14:paraId="315AEC9E" w14:textId="0573D17B" w:rsidR="001D2761" w:rsidRDefault="001D2761">
      <w:pPr>
        <w:pStyle w:val="Sprotnaopomba-besedilo"/>
      </w:pPr>
      <w:r w:rsidRPr="003D7EDC">
        <w:rPr>
          <w:rStyle w:val="Sprotnaopomba-sklic"/>
          <w:sz w:val="18"/>
          <w:szCs w:val="18"/>
        </w:rPr>
        <w:footnoteRef/>
      </w:r>
      <w:r w:rsidRPr="003D7EDC">
        <w:rPr>
          <w:sz w:val="18"/>
          <w:szCs w:val="18"/>
        </w:rPr>
        <w:t xml:space="preserve"> </w:t>
      </w:r>
      <w:proofErr w:type="spellStart"/>
      <w:r w:rsidR="00131284" w:rsidRPr="00131284">
        <w:rPr>
          <w:sz w:val="18"/>
          <w:szCs w:val="18"/>
        </w:rPr>
        <w:t>Strategic</w:t>
      </w:r>
      <w:proofErr w:type="spellEnd"/>
      <w:r w:rsidR="00131284" w:rsidRPr="00131284">
        <w:rPr>
          <w:sz w:val="18"/>
          <w:szCs w:val="18"/>
        </w:rPr>
        <w:t xml:space="preserve"> Technologies </w:t>
      </w:r>
      <w:proofErr w:type="spellStart"/>
      <w:r w:rsidR="00131284" w:rsidRPr="00131284">
        <w:rPr>
          <w:sz w:val="18"/>
          <w:szCs w:val="18"/>
        </w:rPr>
        <w:t>for</w:t>
      </w:r>
      <w:proofErr w:type="spellEnd"/>
      <w:r w:rsidR="00131284" w:rsidRPr="00131284">
        <w:rPr>
          <w:sz w:val="18"/>
          <w:szCs w:val="18"/>
        </w:rPr>
        <w:t xml:space="preserve"> </w:t>
      </w:r>
      <w:proofErr w:type="spellStart"/>
      <w:r w:rsidR="00131284" w:rsidRPr="00131284">
        <w:rPr>
          <w:sz w:val="18"/>
          <w:szCs w:val="18"/>
        </w:rPr>
        <w:t>Europe</w:t>
      </w:r>
      <w:proofErr w:type="spellEnd"/>
      <w:r w:rsidR="00131284" w:rsidRPr="00131284">
        <w:rPr>
          <w:sz w:val="18"/>
          <w:szCs w:val="18"/>
        </w:rPr>
        <w:t xml:space="preserve"> Platform</w:t>
      </w:r>
      <w:r w:rsidR="00131284">
        <w:rPr>
          <w:sz w:val="18"/>
          <w:szCs w:val="18"/>
        </w:rPr>
        <w:t xml:space="preserve"> - </w:t>
      </w:r>
      <w:r w:rsidR="00131284" w:rsidRPr="00131284">
        <w:rPr>
          <w:sz w:val="18"/>
          <w:szCs w:val="18"/>
        </w:rPr>
        <w:t xml:space="preserve">EU </w:t>
      </w:r>
      <w:proofErr w:type="spellStart"/>
      <w:r w:rsidR="00131284" w:rsidRPr="00131284">
        <w:rPr>
          <w:sz w:val="18"/>
          <w:szCs w:val="18"/>
        </w:rPr>
        <w:t>Industry</w:t>
      </w:r>
      <w:proofErr w:type="spellEnd"/>
      <w:r w:rsidR="00131284" w:rsidRPr="00131284">
        <w:rPr>
          <w:sz w:val="18"/>
          <w:szCs w:val="18"/>
        </w:rPr>
        <w:t xml:space="preserve"> I </w:t>
      </w:r>
      <w:proofErr w:type="spellStart"/>
      <w:r w:rsidR="00131284" w:rsidRPr="00131284">
        <w:rPr>
          <w:sz w:val="18"/>
          <w:szCs w:val="18"/>
        </w:rPr>
        <w:t>Competitiveness</w:t>
      </w:r>
      <w:proofErr w:type="spellEnd"/>
      <w:r w:rsidR="00131284" w:rsidRPr="00131284">
        <w:rPr>
          <w:sz w:val="18"/>
          <w:szCs w:val="18"/>
        </w:rPr>
        <w:t xml:space="preserve"> I </w:t>
      </w:r>
      <w:proofErr w:type="spellStart"/>
      <w:r w:rsidR="00131284" w:rsidRPr="00131284">
        <w:rPr>
          <w:sz w:val="18"/>
          <w:szCs w:val="18"/>
        </w:rPr>
        <w:t>Strategic</w:t>
      </w:r>
      <w:proofErr w:type="spellEnd"/>
      <w:r w:rsidR="00131284" w:rsidRPr="00131284">
        <w:rPr>
          <w:sz w:val="18"/>
          <w:szCs w:val="18"/>
        </w:rPr>
        <w:t xml:space="preserve"> Technologies</w:t>
      </w:r>
      <w:r w:rsidR="00131284">
        <w:rPr>
          <w:sz w:val="18"/>
          <w:szCs w:val="18"/>
        </w:rPr>
        <w:t>.</w:t>
      </w:r>
    </w:p>
  </w:footnote>
  <w:footnote w:id="7">
    <w:p w14:paraId="06DDBEAB" w14:textId="44594254" w:rsidR="001D2761" w:rsidRDefault="001D2761" w:rsidP="00E82112">
      <w:pPr>
        <w:pStyle w:val="Sprotnaopomba-besedilo"/>
      </w:pPr>
      <w:r>
        <w:rPr>
          <w:rStyle w:val="Sprotnaopomba-sklic"/>
        </w:rPr>
        <w:footnoteRef/>
      </w:r>
      <w:r>
        <w:t xml:space="preserve"> </w:t>
      </w:r>
      <w:proofErr w:type="spellStart"/>
      <w:r w:rsidRPr="0011212D">
        <w:rPr>
          <w:sz w:val="18"/>
          <w:szCs w:val="18"/>
        </w:rPr>
        <w:t>Strategic</w:t>
      </w:r>
      <w:proofErr w:type="spellEnd"/>
      <w:r w:rsidRPr="0011212D">
        <w:rPr>
          <w:sz w:val="18"/>
          <w:szCs w:val="18"/>
        </w:rPr>
        <w:t xml:space="preserve"> </w:t>
      </w:r>
      <w:proofErr w:type="spellStart"/>
      <w:r w:rsidRPr="0011212D">
        <w:rPr>
          <w:sz w:val="18"/>
          <w:szCs w:val="18"/>
        </w:rPr>
        <w:t>Tehnologies</w:t>
      </w:r>
      <w:proofErr w:type="spellEnd"/>
      <w:r w:rsidRPr="0011212D">
        <w:rPr>
          <w:sz w:val="18"/>
          <w:szCs w:val="18"/>
        </w:rPr>
        <w:t xml:space="preserve"> </w:t>
      </w:r>
      <w:proofErr w:type="spellStart"/>
      <w:r w:rsidRPr="0011212D">
        <w:rPr>
          <w:sz w:val="18"/>
          <w:szCs w:val="18"/>
        </w:rPr>
        <w:t>for</w:t>
      </w:r>
      <w:proofErr w:type="spellEnd"/>
      <w:r w:rsidRPr="0011212D">
        <w:rPr>
          <w:sz w:val="18"/>
          <w:szCs w:val="18"/>
        </w:rPr>
        <w:t xml:space="preserve"> </w:t>
      </w:r>
      <w:proofErr w:type="spellStart"/>
      <w:r w:rsidRPr="0011212D">
        <w:rPr>
          <w:sz w:val="18"/>
          <w:szCs w:val="18"/>
        </w:rPr>
        <w:t>Europe</w:t>
      </w:r>
      <w:proofErr w:type="spellEnd"/>
      <w:r w:rsidRPr="0011212D">
        <w:rPr>
          <w:sz w:val="18"/>
          <w:szCs w:val="18"/>
        </w:rPr>
        <w:t xml:space="preserve"> Platform, </w:t>
      </w:r>
      <w:proofErr w:type="spellStart"/>
      <w:r w:rsidRPr="0011212D">
        <w:rPr>
          <w:sz w:val="18"/>
          <w:szCs w:val="18"/>
        </w:rPr>
        <w:t>European</w:t>
      </w:r>
      <w:proofErr w:type="spellEnd"/>
      <w:r w:rsidRPr="0011212D">
        <w:rPr>
          <w:sz w:val="18"/>
          <w:szCs w:val="18"/>
        </w:rPr>
        <w:t xml:space="preserve"> Union. </w:t>
      </w:r>
    </w:p>
  </w:footnote>
  <w:footnote w:id="8">
    <w:p w14:paraId="537C17EB" w14:textId="57A7E161" w:rsidR="001D2761" w:rsidRPr="007A6867" w:rsidRDefault="001D2761" w:rsidP="001A6C8D">
      <w:pPr>
        <w:pStyle w:val="Sprotnaopomba-besedilo"/>
        <w:jc w:val="both"/>
        <w:rPr>
          <w:sz w:val="18"/>
          <w:szCs w:val="18"/>
        </w:rPr>
      </w:pPr>
      <w:r w:rsidRPr="007735E9">
        <w:rPr>
          <w:rStyle w:val="Sprotnaopomba-sklic"/>
          <w:sz w:val="18"/>
          <w:szCs w:val="18"/>
        </w:rPr>
        <w:footnoteRef/>
      </w:r>
      <w:r w:rsidRPr="007735E9">
        <w:rPr>
          <w:sz w:val="18"/>
          <w:szCs w:val="18"/>
        </w:rPr>
        <w:t xml:space="preserve"> Uredba (EU) 2024/795 Evropskega parlamenta in Sveta z dne 29. februarja 2024 o vzpostavitvi platforme za strateške </w:t>
      </w:r>
      <w:r w:rsidRPr="007A6867">
        <w:rPr>
          <w:sz w:val="18"/>
          <w:szCs w:val="18"/>
        </w:rPr>
        <w:t>tehnologije za Evropo (platforma STEP) ter spremembi Direktive 2003/87/ES in drugih uredb.</w:t>
      </w:r>
    </w:p>
  </w:footnote>
  <w:footnote w:id="9">
    <w:p w14:paraId="31ABBD50" w14:textId="1299CEB3" w:rsidR="001D2761" w:rsidRDefault="001D2761">
      <w:pPr>
        <w:pStyle w:val="Sprotnaopomba-besedilo"/>
      </w:pPr>
      <w:r w:rsidRPr="007A6867">
        <w:rPr>
          <w:rStyle w:val="Sprotnaopomba-sklic"/>
          <w:sz w:val="18"/>
          <w:szCs w:val="18"/>
        </w:rPr>
        <w:footnoteRef/>
      </w:r>
      <w:r w:rsidRPr="007A6867">
        <w:rPr>
          <w:sz w:val="18"/>
          <w:szCs w:val="18"/>
        </w:rPr>
        <w:t xml:space="preserve"> Poročilo o produktivnosti 2023, (2023). Ljubljana: UMAR.</w:t>
      </w:r>
    </w:p>
  </w:footnote>
  <w:footnote w:id="10">
    <w:p w14:paraId="0E1F8C35" w14:textId="77777777" w:rsidR="00313C2B" w:rsidRPr="00207074" w:rsidRDefault="00313C2B" w:rsidP="00313C2B">
      <w:pPr>
        <w:pStyle w:val="Sprotnaopomba-besedilo"/>
        <w:rPr>
          <w:sz w:val="18"/>
          <w:szCs w:val="18"/>
        </w:rPr>
      </w:pPr>
      <w:r>
        <w:rPr>
          <w:rStyle w:val="Sprotnaopomba-sklic"/>
        </w:rPr>
        <w:footnoteRef/>
      </w:r>
      <w:r>
        <w:t xml:space="preserve"> </w:t>
      </w:r>
      <w:r w:rsidRPr="00207074">
        <w:rPr>
          <w:sz w:val="18"/>
          <w:szCs w:val="18"/>
        </w:rPr>
        <w:t>Poročilo o produktivnosti 2023, (2023). Ljubljana: UMAR.</w:t>
      </w:r>
    </w:p>
  </w:footnote>
  <w:footnote w:id="11">
    <w:p w14:paraId="6B5297BB" w14:textId="77777777" w:rsidR="00313C2B" w:rsidRPr="00207074" w:rsidRDefault="00313C2B" w:rsidP="00313C2B">
      <w:pPr>
        <w:pStyle w:val="Sprotnaopomba-besedilo"/>
        <w:jc w:val="both"/>
        <w:rPr>
          <w:sz w:val="18"/>
          <w:szCs w:val="18"/>
        </w:rPr>
      </w:pPr>
      <w:r w:rsidRPr="00207074">
        <w:rPr>
          <w:rStyle w:val="Sprotnaopomba-sklic"/>
          <w:sz w:val="18"/>
          <w:szCs w:val="18"/>
        </w:rPr>
        <w:footnoteRef/>
      </w:r>
      <w:r w:rsidRPr="00207074">
        <w:rPr>
          <w:sz w:val="18"/>
          <w:szCs w:val="18"/>
        </w:rPr>
        <w:t xml:space="preserve"> EU </w:t>
      </w:r>
      <w:proofErr w:type="spellStart"/>
      <w:r w:rsidRPr="00207074">
        <w:rPr>
          <w:sz w:val="18"/>
          <w:szCs w:val="18"/>
        </w:rPr>
        <w:t>competitiveness</w:t>
      </w:r>
      <w:proofErr w:type="spellEnd"/>
      <w:r w:rsidRPr="00207074">
        <w:rPr>
          <w:sz w:val="18"/>
          <w:szCs w:val="18"/>
        </w:rPr>
        <w:t xml:space="preserve">, </w:t>
      </w:r>
      <w:proofErr w:type="spellStart"/>
      <w:r w:rsidRPr="00207074">
        <w:rPr>
          <w:sz w:val="18"/>
          <w:szCs w:val="18"/>
        </w:rPr>
        <w:t>Looking</w:t>
      </w:r>
      <w:proofErr w:type="spellEnd"/>
      <w:r w:rsidRPr="00207074">
        <w:rPr>
          <w:sz w:val="18"/>
          <w:szCs w:val="18"/>
        </w:rPr>
        <w:t xml:space="preserve"> </w:t>
      </w:r>
      <w:proofErr w:type="spellStart"/>
      <w:r w:rsidRPr="00207074">
        <w:rPr>
          <w:sz w:val="18"/>
          <w:szCs w:val="18"/>
        </w:rPr>
        <w:t>ahead</w:t>
      </w:r>
      <w:proofErr w:type="spellEnd"/>
      <w:r w:rsidRPr="00207074">
        <w:rPr>
          <w:sz w:val="18"/>
          <w:szCs w:val="18"/>
        </w:rPr>
        <w:t xml:space="preserve">, </w:t>
      </w:r>
      <w:proofErr w:type="spellStart"/>
      <w:r w:rsidRPr="00207074">
        <w:rPr>
          <w:sz w:val="18"/>
          <w:szCs w:val="18"/>
        </w:rPr>
        <w:t>Directorate</w:t>
      </w:r>
      <w:proofErr w:type="spellEnd"/>
      <w:r w:rsidRPr="00207074">
        <w:rPr>
          <w:sz w:val="18"/>
          <w:szCs w:val="18"/>
        </w:rPr>
        <w:t xml:space="preserve">-General </w:t>
      </w:r>
      <w:proofErr w:type="spellStart"/>
      <w:r w:rsidRPr="00207074">
        <w:rPr>
          <w:sz w:val="18"/>
          <w:szCs w:val="18"/>
        </w:rPr>
        <w:t>for</w:t>
      </w:r>
      <w:proofErr w:type="spellEnd"/>
      <w:r w:rsidRPr="00207074">
        <w:rPr>
          <w:sz w:val="18"/>
          <w:szCs w:val="18"/>
        </w:rPr>
        <w:t xml:space="preserve"> </w:t>
      </w:r>
      <w:proofErr w:type="spellStart"/>
      <w:r w:rsidRPr="00207074">
        <w:rPr>
          <w:sz w:val="18"/>
          <w:szCs w:val="18"/>
        </w:rPr>
        <w:t>Communicatio</w:t>
      </w:r>
      <w:proofErr w:type="spellEnd"/>
      <w:r w:rsidRPr="00207074">
        <w:rPr>
          <w:sz w:val="18"/>
          <w:szCs w:val="18"/>
        </w:rPr>
        <w:t>, e-vir.</w:t>
      </w:r>
    </w:p>
  </w:footnote>
  <w:footnote w:id="12">
    <w:p w14:paraId="5A93CFE7" w14:textId="77777777" w:rsidR="00313C2B" w:rsidRDefault="00313C2B" w:rsidP="00313C2B">
      <w:pPr>
        <w:pStyle w:val="Sprotnaopomba-besedilo"/>
      </w:pPr>
      <w:r w:rsidRPr="00207074">
        <w:rPr>
          <w:rStyle w:val="Sprotnaopomba-sklic"/>
          <w:sz w:val="18"/>
          <w:szCs w:val="18"/>
        </w:rPr>
        <w:footnoteRef/>
      </w:r>
      <w:r w:rsidRPr="00207074">
        <w:rPr>
          <w:sz w:val="18"/>
          <w:szCs w:val="18"/>
        </w:rPr>
        <w:t xml:space="preserve"> Jesenska napoved gospodarskih gibanj 2024, (2024). Ljubljana: UMAR.</w:t>
      </w:r>
    </w:p>
  </w:footnote>
  <w:footnote w:id="13">
    <w:p w14:paraId="739BAB34" w14:textId="77777777" w:rsidR="00313C2B" w:rsidRDefault="00313C2B" w:rsidP="00313C2B">
      <w:pPr>
        <w:pStyle w:val="Sprotnaopomba-besedilo"/>
      </w:pPr>
      <w:r>
        <w:rPr>
          <w:rStyle w:val="Sprotnaopomba-sklic"/>
        </w:rPr>
        <w:footnoteRef/>
      </w:r>
      <w:r>
        <w:t xml:space="preserve"> </w:t>
      </w:r>
      <w:r>
        <w:rPr>
          <w:sz w:val="18"/>
          <w:szCs w:val="18"/>
        </w:rPr>
        <w:t xml:space="preserve">Perko, M. in </w:t>
      </w:r>
      <w:proofErr w:type="spellStart"/>
      <w:r>
        <w:rPr>
          <w:sz w:val="18"/>
          <w:szCs w:val="18"/>
        </w:rPr>
        <w:t>Rogan</w:t>
      </w:r>
      <w:proofErr w:type="spellEnd"/>
      <w:r>
        <w:rPr>
          <w:sz w:val="18"/>
          <w:szCs w:val="18"/>
        </w:rPr>
        <w:t>, D. (2023). Kakšen je obseg razpoložljivih kapacitet na trgu dela?. Ljubljana UMAR.</w:t>
      </w:r>
    </w:p>
  </w:footnote>
  <w:footnote w:id="14">
    <w:p w14:paraId="3603E560" w14:textId="77777777" w:rsidR="00313C2B" w:rsidRPr="00927D0F" w:rsidRDefault="00313C2B" w:rsidP="00313C2B">
      <w:pPr>
        <w:pStyle w:val="Sprotnaopomba-besedilo"/>
        <w:jc w:val="both"/>
        <w:rPr>
          <w:sz w:val="18"/>
          <w:szCs w:val="18"/>
        </w:rPr>
      </w:pPr>
      <w:r w:rsidRPr="00927D0F">
        <w:rPr>
          <w:rStyle w:val="Sprotnaopomba-sklic"/>
          <w:sz w:val="18"/>
          <w:szCs w:val="18"/>
        </w:rPr>
        <w:footnoteRef/>
      </w:r>
      <w:r w:rsidRPr="00927D0F">
        <w:rPr>
          <w:sz w:val="18"/>
          <w:szCs w:val="18"/>
        </w:rPr>
        <w:t xml:space="preserve"> </w:t>
      </w:r>
      <w:r w:rsidRPr="00F36677">
        <w:rPr>
          <w:sz w:val="18"/>
          <w:szCs w:val="18"/>
        </w:rPr>
        <w:t>Strokovna podlaga za določitev ciljev Slovenije za leto 2030 (2021). Ljubljana: Ministrstvo za delo, družino, socialne zadeve in enake možnosti; Ministrstvo za izobraževanje, znanost in šport.</w:t>
      </w:r>
    </w:p>
  </w:footnote>
  <w:footnote w:id="15">
    <w:p w14:paraId="4E83548A" w14:textId="77777777" w:rsidR="00313C2B" w:rsidRDefault="00313C2B" w:rsidP="00313C2B">
      <w:pPr>
        <w:pStyle w:val="Sprotnaopomba-besedilo"/>
      </w:pPr>
      <w:r>
        <w:rPr>
          <w:rStyle w:val="Sprotnaopomba-sklic"/>
        </w:rPr>
        <w:footnoteRef/>
      </w:r>
      <w:r>
        <w:t xml:space="preserve"> </w:t>
      </w:r>
      <w:r>
        <w:rPr>
          <w:sz w:val="18"/>
          <w:szCs w:val="18"/>
        </w:rPr>
        <w:t>Strokovna izhodišča za leto 2025. (2024). Ljubljana: Zavod Republike Slovenije za zaposlovanje</w:t>
      </w:r>
    </w:p>
  </w:footnote>
  <w:footnote w:id="16">
    <w:p w14:paraId="0AB50CD6" w14:textId="77777777" w:rsidR="00F7498E" w:rsidRPr="00F7498E" w:rsidRDefault="00F7498E" w:rsidP="00443178">
      <w:pPr>
        <w:pStyle w:val="Sprotnaopomba-besedilo"/>
        <w:jc w:val="both"/>
        <w:rPr>
          <w:sz w:val="16"/>
          <w:szCs w:val="16"/>
        </w:rPr>
      </w:pPr>
      <w:r>
        <w:rPr>
          <w:rStyle w:val="Sprotnaopomba-sklic"/>
        </w:rPr>
        <w:footnoteRef/>
      </w:r>
      <w:r>
        <w:t xml:space="preserve"> </w:t>
      </w:r>
      <w:r w:rsidRPr="00F7498E">
        <w:rPr>
          <w:sz w:val="16"/>
          <w:szCs w:val="16"/>
        </w:rPr>
        <w:t>Raziskovalni projekt CRP ALSPDOL (</w:t>
      </w:r>
      <w:hyperlink r:id="rId1" w:history="1">
        <w:r w:rsidRPr="00F7498E">
          <w:rPr>
            <w:rStyle w:val="Hiperpovezava"/>
            <w:sz w:val="16"/>
            <w:szCs w:val="16"/>
          </w:rPr>
          <w:t>https://www.fdv.uni-lj.si/raziskovanje/institut-za-druzbene-vede/raziskovalni-projekti/P7666</w:t>
        </w:r>
      </w:hyperlink>
      <w:r w:rsidRPr="00F7498E">
        <w:rPr>
          <w:sz w:val="16"/>
          <w:szCs w:val="16"/>
        </w:rPr>
        <w:t>).</w:t>
      </w:r>
    </w:p>
    <w:p w14:paraId="78FCD6BE" w14:textId="5EBA2B42" w:rsidR="00F7498E" w:rsidRDefault="00F7498E">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27AC" w14:textId="77777777" w:rsidR="001D2761" w:rsidRDefault="001D2761" w:rsidP="00E00C61">
    <w:pPr>
      <w:pStyle w:val="Glava"/>
      <w:tabs>
        <w:tab w:val="left" w:pos="6663"/>
      </w:tabs>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52D1" w14:textId="77777777" w:rsidR="001D2761" w:rsidRPr="00512766" w:rsidRDefault="001D2761" w:rsidP="002048B8">
    <w:pPr>
      <w:pStyle w:val="Telobesedila2"/>
      <w:jc w:val="left"/>
    </w:pPr>
    <w:r w:rsidRPr="00512766">
      <w:rPr>
        <w:noProof/>
        <w:lang w:eastAsia="sl-SI"/>
      </w:rPr>
      <w:drawing>
        <wp:inline distT="0" distB="0" distL="0" distR="0" wp14:anchorId="443BAB91" wp14:editId="412A1A33">
          <wp:extent cx="3847465" cy="368300"/>
          <wp:effectExtent l="0" t="0" r="0" b="0"/>
          <wp:docPr id="1736772353" name="Slika 1736772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72353" name="Slika 173677235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47465" cy="368300"/>
                  </a:xfrm>
                  <a:prstGeom prst="rect">
                    <a:avLst/>
                  </a:prstGeom>
                  <a:noFill/>
                  <a:ln>
                    <a:noFill/>
                  </a:ln>
                </pic:spPr>
              </pic:pic>
            </a:graphicData>
          </a:graphic>
        </wp:inline>
      </w:drawing>
    </w:r>
  </w:p>
  <w:p w14:paraId="5642FDDB" w14:textId="77777777" w:rsidR="001D2761" w:rsidRDefault="001D2761" w:rsidP="002048B8">
    <w:pPr>
      <w:pStyle w:val="Glava"/>
      <w:tabs>
        <w:tab w:val="left" w:pos="6663"/>
      </w:tabs>
      <w:spacing w:line="240" w:lineRule="exact"/>
      <w:ind w:left="709"/>
      <w:rPr>
        <w:rFonts w:cs="Arial"/>
        <w:szCs w:val="20"/>
      </w:rPr>
    </w:pPr>
    <w:r w:rsidRPr="00512766">
      <w:rPr>
        <w:rFonts w:cs="Arial"/>
        <w:szCs w:val="20"/>
      </w:rPr>
      <w:t xml:space="preserve"> </w:t>
    </w:r>
  </w:p>
  <w:p w14:paraId="6311A3E8" w14:textId="77777777" w:rsidR="001D2761" w:rsidRPr="00421C2E" w:rsidRDefault="001D2761" w:rsidP="002048B8">
    <w:pPr>
      <w:pStyle w:val="Glava"/>
      <w:tabs>
        <w:tab w:val="left" w:pos="6663"/>
      </w:tabs>
      <w:spacing w:line="240" w:lineRule="exact"/>
      <w:ind w:left="709"/>
      <w:rPr>
        <w:rFonts w:cs="Arial"/>
        <w:sz w:val="16"/>
        <w:szCs w:val="16"/>
      </w:rPr>
    </w:pPr>
    <w:r w:rsidRPr="00421C2E">
      <w:rPr>
        <w:rFonts w:cs="Arial"/>
        <w:sz w:val="16"/>
        <w:szCs w:val="16"/>
      </w:rPr>
      <w:t>Kotnikova ulica 5, 1000 Ljubljana</w:t>
    </w:r>
    <w:r w:rsidRPr="00421C2E">
      <w:rPr>
        <w:rFonts w:cs="Arial"/>
        <w:sz w:val="16"/>
        <w:szCs w:val="16"/>
      </w:rPr>
      <w:tab/>
    </w:r>
    <w:r w:rsidRPr="00421C2E">
      <w:rPr>
        <w:rFonts w:cs="Arial"/>
        <w:sz w:val="16"/>
        <w:szCs w:val="16"/>
      </w:rPr>
      <w:tab/>
      <w:t>T: 01 400 33 11</w:t>
    </w:r>
  </w:p>
  <w:p w14:paraId="36C9E3F5" w14:textId="77777777" w:rsidR="001D2761" w:rsidRPr="00421C2E" w:rsidRDefault="001D2761" w:rsidP="002048B8">
    <w:pPr>
      <w:pStyle w:val="Glava"/>
      <w:tabs>
        <w:tab w:val="left" w:pos="6663"/>
      </w:tabs>
      <w:spacing w:line="240" w:lineRule="exact"/>
      <w:ind w:left="851"/>
      <w:rPr>
        <w:rFonts w:cs="Arial"/>
        <w:sz w:val="16"/>
        <w:szCs w:val="16"/>
      </w:rPr>
    </w:pPr>
    <w:r w:rsidRPr="00421C2E">
      <w:rPr>
        <w:rFonts w:cs="Arial"/>
        <w:sz w:val="16"/>
        <w:szCs w:val="16"/>
      </w:rPr>
      <w:tab/>
    </w:r>
    <w:r w:rsidRPr="00421C2E">
      <w:rPr>
        <w:rFonts w:cs="Arial"/>
        <w:sz w:val="16"/>
        <w:szCs w:val="16"/>
      </w:rPr>
      <w:tab/>
      <w:t>E: gp.mkrr@gov.si</w:t>
    </w:r>
  </w:p>
  <w:p w14:paraId="5643EC7E" w14:textId="71C8A3D2" w:rsidR="001D2761" w:rsidRDefault="001D2761" w:rsidP="00E00C61">
    <w:pPr>
      <w:pStyle w:val="Glava"/>
      <w:tabs>
        <w:tab w:val="clear" w:pos="4536"/>
        <w:tab w:val="clear" w:pos="9072"/>
        <w:tab w:val="left" w:pos="2450"/>
      </w:tabs>
    </w:pPr>
    <w:r w:rsidRPr="00421C2E">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 xml:space="preserve">       </w:t>
    </w:r>
    <w:r w:rsidRPr="00421C2E">
      <w:rPr>
        <w:rFonts w:cs="Arial"/>
        <w:sz w:val="16"/>
        <w:szCs w:val="16"/>
      </w:rPr>
      <w:t>www.mkrr.gov.si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11C5" w14:textId="77777777" w:rsidR="001D2761" w:rsidRDefault="001D2761" w:rsidP="00E00C61">
    <w:pPr>
      <w:pStyle w:val="Glava"/>
      <w:tabs>
        <w:tab w:val="left" w:pos="6663"/>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920"/>
    <w:multiLevelType w:val="multilevel"/>
    <w:tmpl w:val="C01453C6"/>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2E78BE"/>
    <w:multiLevelType w:val="hybridMultilevel"/>
    <w:tmpl w:val="BE7088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9736A9"/>
    <w:multiLevelType w:val="hybridMultilevel"/>
    <w:tmpl w:val="CC3831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7F7D66"/>
    <w:multiLevelType w:val="hybridMultilevel"/>
    <w:tmpl w:val="8A46346A"/>
    <w:lvl w:ilvl="0" w:tplc="11125DB4">
      <w:start w:val="1000"/>
      <w:numFmt w:val="bullet"/>
      <w:lvlText w:val="-"/>
      <w:lvlJc w:val="left"/>
      <w:pPr>
        <w:ind w:left="720" w:hanging="360"/>
      </w:pPr>
      <w:rPr>
        <w:rFonts w:ascii="Calibri" w:eastAsia="Times New Roman" w:hAnsi="Calibri" w:hint="default"/>
        <w:b w:val="0"/>
        <w:bCs/>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6B3EAF"/>
    <w:multiLevelType w:val="multilevel"/>
    <w:tmpl w:val="9466962E"/>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0EAE6433"/>
    <w:multiLevelType w:val="hybridMultilevel"/>
    <w:tmpl w:val="698E0372"/>
    <w:lvl w:ilvl="0" w:tplc="725E23E4">
      <w:start w:val="1"/>
      <w:numFmt w:val="decimal"/>
      <w:lvlText w:val="%1."/>
      <w:lvlJc w:val="left"/>
      <w:pPr>
        <w:ind w:left="360" w:hanging="360"/>
      </w:pPr>
      <w:rPr>
        <w:rFonts w:hint="default"/>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EB14BDF"/>
    <w:multiLevelType w:val="hybridMultilevel"/>
    <w:tmpl w:val="14F8DA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195278D"/>
    <w:multiLevelType w:val="hybridMultilevel"/>
    <w:tmpl w:val="55029A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876F86"/>
    <w:multiLevelType w:val="multilevel"/>
    <w:tmpl w:val="31EA3F56"/>
    <w:lvl w:ilvl="0">
      <w:start w:val="1"/>
      <w:numFmt w:val="decimal"/>
      <w:lvlText w:val="%1."/>
      <w:lvlJc w:val="left"/>
      <w:pPr>
        <w:ind w:left="360" w:hanging="360"/>
      </w:pPr>
      <w:rPr>
        <w:rFonts w:hint="default"/>
        <w:b/>
        <w:bCs/>
      </w:rPr>
    </w:lvl>
    <w:lvl w:ilvl="1">
      <w:start w:val="4"/>
      <w:numFmt w:val="decimal"/>
      <w:isLgl/>
      <w:lvlText w:val="%1.%2"/>
      <w:lvlJc w:val="left"/>
      <w:pPr>
        <w:ind w:left="517" w:hanging="495"/>
      </w:pPr>
      <w:rPr>
        <w:rFonts w:hint="default"/>
      </w:rPr>
    </w:lvl>
    <w:lvl w:ilvl="2">
      <w:start w:val="1"/>
      <w:numFmt w:val="decimal"/>
      <w:isLgl/>
      <w:lvlText w:val="%1.%2.%3"/>
      <w:lvlJc w:val="left"/>
      <w:pPr>
        <w:ind w:left="764"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808" w:hanging="720"/>
      </w:pPr>
      <w:rPr>
        <w:rFonts w:hint="default"/>
      </w:rPr>
    </w:lvl>
    <w:lvl w:ilvl="5">
      <w:start w:val="1"/>
      <w:numFmt w:val="decimal"/>
      <w:isLgl/>
      <w:lvlText w:val="%1.%2.%3.%4.%5.%6"/>
      <w:lvlJc w:val="left"/>
      <w:pPr>
        <w:ind w:left="1190" w:hanging="1080"/>
      </w:pPr>
      <w:rPr>
        <w:rFonts w:hint="default"/>
      </w:rPr>
    </w:lvl>
    <w:lvl w:ilvl="6">
      <w:start w:val="1"/>
      <w:numFmt w:val="decimal"/>
      <w:isLgl/>
      <w:lvlText w:val="%1.%2.%3.%4.%5.%6.%7"/>
      <w:lvlJc w:val="left"/>
      <w:pPr>
        <w:ind w:left="1212" w:hanging="1080"/>
      </w:pPr>
      <w:rPr>
        <w:rFonts w:hint="default"/>
      </w:rPr>
    </w:lvl>
    <w:lvl w:ilvl="7">
      <w:start w:val="1"/>
      <w:numFmt w:val="decimal"/>
      <w:isLgl/>
      <w:lvlText w:val="%1.%2.%3.%4.%5.%6.%7.%8"/>
      <w:lvlJc w:val="left"/>
      <w:pPr>
        <w:ind w:left="1594" w:hanging="1440"/>
      </w:pPr>
      <w:rPr>
        <w:rFonts w:hint="default"/>
      </w:rPr>
    </w:lvl>
    <w:lvl w:ilvl="8">
      <w:start w:val="1"/>
      <w:numFmt w:val="decimal"/>
      <w:isLgl/>
      <w:lvlText w:val="%1.%2.%3.%4.%5.%6.%7.%8.%9"/>
      <w:lvlJc w:val="left"/>
      <w:pPr>
        <w:ind w:left="1616" w:hanging="1440"/>
      </w:pPr>
      <w:rPr>
        <w:rFonts w:hint="default"/>
      </w:rPr>
    </w:lvl>
  </w:abstractNum>
  <w:abstractNum w:abstractNumId="9" w15:restartNumberingAfterBreak="0">
    <w:nsid w:val="14D3164C"/>
    <w:multiLevelType w:val="multilevel"/>
    <w:tmpl w:val="32F40AE2"/>
    <w:lvl w:ilvl="0">
      <w:start w:val="1"/>
      <w:numFmt w:val="decimal"/>
      <w:lvlText w:val="%1."/>
      <w:lvlJc w:val="left"/>
      <w:pPr>
        <w:ind w:left="360" w:hanging="360"/>
      </w:pPr>
      <w:rPr>
        <w:rFonts w:hint="default"/>
        <w:b/>
        <w:u w:val="none"/>
      </w:rPr>
    </w:lvl>
    <w:lvl w:ilvl="1">
      <w:start w:val="1"/>
      <w:numFmt w:val="decimal"/>
      <w:isLgl/>
      <w:lvlText w:val="%1.%2"/>
      <w:lvlJc w:val="left"/>
      <w:pPr>
        <w:ind w:left="765" w:hanging="40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180E0A33"/>
    <w:multiLevelType w:val="hybridMultilevel"/>
    <w:tmpl w:val="0FD49E4C"/>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1" w15:restartNumberingAfterBreak="0">
    <w:nsid w:val="1811021F"/>
    <w:multiLevelType w:val="multilevel"/>
    <w:tmpl w:val="19F412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D3D5228"/>
    <w:multiLevelType w:val="hybridMultilevel"/>
    <w:tmpl w:val="79A8A0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026BFA"/>
    <w:multiLevelType w:val="hybridMultilevel"/>
    <w:tmpl w:val="A05458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9F5A3A"/>
    <w:multiLevelType w:val="hybridMultilevel"/>
    <w:tmpl w:val="ABDEED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02E46F4"/>
    <w:multiLevelType w:val="hybridMultilevel"/>
    <w:tmpl w:val="FA9253B0"/>
    <w:lvl w:ilvl="0" w:tplc="206E9572">
      <w:start w:val="1"/>
      <w:numFmt w:val="decimal"/>
      <w:lvlText w:val="%1."/>
      <w:lvlJc w:val="left"/>
      <w:pPr>
        <w:ind w:left="360" w:hanging="360"/>
      </w:pPr>
      <w:rPr>
        <w:rFonts w:hint="default"/>
        <w:b/>
        <w:bCs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1F14411"/>
    <w:multiLevelType w:val="hybridMultilevel"/>
    <w:tmpl w:val="F0A226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258449E"/>
    <w:multiLevelType w:val="multilevel"/>
    <w:tmpl w:val="9466962E"/>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247C626F"/>
    <w:multiLevelType w:val="hybridMultilevel"/>
    <w:tmpl w:val="4FAA8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5492AFB"/>
    <w:multiLevelType w:val="multilevel"/>
    <w:tmpl w:val="32F40AE2"/>
    <w:lvl w:ilvl="0">
      <w:start w:val="1"/>
      <w:numFmt w:val="decimal"/>
      <w:lvlText w:val="%1."/>
      <w:lvlJc w:val="left"/>
      <w:pPr>
        <w:ind w:left="360" w:hanging="360"/>
      </w:pPr>
      <w:rPr>
        <w:rFonts w:hint="default"/>
        <w:b/>
        <w:u w:val="none"/>
      </w:rPr>
    </w:lvl>
    <w:lvl w:ilvl="1">
      <w:start w:val="1"/>
      <w:numFmt w:val="decimal"/>
      <w:isLgl/>
      <w:lvlText w:val="%1.%2"/>
      <w:lvlJc w:val="left"/>
      <w:pPr>
        <w:ind w:left="765" w:hanging="40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0" w15:restartNumberingAfterBreak="0">
    <w:nsid w:val="278B3BB6"/>
    <w:multiLevelType w:val="hybridMultilevel"/>
    <w:tmpl w:val="14F8DA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FE64E1"/>
    <w:multiLevelType w:val="hybridMultilevel"/>
    <w:tmpl w:val="9FACF1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934758D"/>
    <w:multiLevelType w:val="hybridMultilevel"/>
    <w:tmpl w:val="291439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AF65CB7"/>
    <w:multiLevelType w:val="hybridMultilevel"/>
    <w:tmpl w:val="6C4E764A"/>
    <w:lvl w:ilvl="0" w:tplc="57BC5D2A">
      <w:start w:val="1"/>
      <w:numFmt w:val="decimal"/>
      <w:lvlText w:val="%1."/>
      <w:lvlJc w:val="left"/>
      <w:pPr>
        <w:ind w:left="360" w:hanging="360"/>
      </w:pPr>
      <w:rPr>
        <w:rFonts w:hint="default"/>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2C893594"/>
    <w:multiLevelType w:val="hybridMultilevel"/>
    <w:tmpl w:val="1A520F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D253201"/>
    <w:multiLevelType w:val="hybridMultilevel"/>
    <w:tmpl w:val="E2D0D7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35460E0"/>
    <w:multiLevelType w:val="hybridMultilevel"/>
    <w:tmpl w:val="14F8DA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2355DE"/>
    <w:multiLevelType w:val="hybridMultilevel"/>
    <w:tmpl w:val="B7FE3E76"/>
    <w:lvl w:ilvl="0" w:tplc="E8FCCB02">
      <w:start w:val="1"/>
      <w:numFmt w:val="decimalZero"/>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8" w15:restartNumberingAfterBreak="0">
    <w:nsid w:val="349D2259"/>
    <w:multiLevelType w:val="hybridMultilevel"/>
    <w:tmpl w:val="BDC0138C"/>
    <w:lvl w:ilvl="0" w:tplc="2548BA18">
      <w:start w:val="1"/>
      <w:numFmt w:val="decimalZero"/>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9" w15:restartNumberingAfterBreak="0">
    <w:nsid w:val="36AF08C4"/>
    <w:multiLevelType w:val="hybridMultilevel"/>
    <w:tmpl w:val="D7EC03F6"/>
    <w:lvl w:ilvl="0" w:tplc="57A86020">
      <w:start w:val="1000"/>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D965663"/>
    <w:multiLevelType w:val="multilevel"/>
    <w:tmpl w:val="9466962E"/>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3F2528CA"/>
    <w:multiLevelType w:val="multilevel"/>
    <w:tmpl w:val="19F412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2933ED0"/>
    <w:multiLevelType w:val="hybridMultilevel"/>
    <w:tmpl w:val="CC383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2F1481F"/>
    <w:multiLevelType w:val="hybridMultilevel"/>
    <w:tmpl w:val="681EC64C"/>
    <w:lvl w:ilvl="0" w:tplc="07C67C80">
      <w:start w:val="1"/>
      <w:numFmt w:val="decimal"/>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6D474EE"/>
    <w:multiLevelType w:val="hybridMultilevel"/>
    <w:tmpl w:val="3AF2BD4C"/>
    <w:lvl w:ilvl="0" w:tplc="ABEACDD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96F7598"/>
    <w:multiLevelType w:val="hybridMultilevel"/>
    <w:tmpl w:val="259EAC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99949F0"/>
    <w:multiLevelType w:val="multilevel"/>
    <w:tmpl w:val="069A7B18"/>
    <w:lvl w:ilvl="0">
      <w:start w:val="1"/>
      <w:numFmt w:val="decimal"/>
      <w:pStyle w:val="Naslov1"/>
      <w:lvlText w:val="%1"/>
      <w:lvlJc w:val="left"/>
      <w:pPr>
        <w:ind w:left="720" w:hanging="360"/>
      </w:pPr>
      <w:rPr>
        <w:rFonts w:hint="default"/>
        <w:color w:val="4472C4" w:themeColor="accent1"/>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00B6D8C"/>
    <w:multiLevelType w:val="hybridMultilevel"/>
    <w:tmpl w:val="60F65B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05524C9"/>
    <w:multiLevelType w:val="hybridMultilevel"/>
    <w:tmpl w:val="0108F130"/>
    <w:lvl w:ilvl="0" w:tplc="4C328530">
      <w:start w:val="3"/>
      <w:numFmt w:val="decimal"/>
      <w:lvlText w:val="%1."/>
      <w:lvlJc w:val="left"/>
      <w:pPr>
        <w:ind w:left="502" w:hanging="360"/>
      </w:pPr>
      <w:rPr>
        <w:rFonts w:hint="default"/>
        <w:b/>
        <w:u w:val="none"/>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39" w15:restartNumberingAfterBreak="0">
    <w:nsid w:val="5216623E"/>
    <w:multiLevelType w:val="hybridMultilevel"/>
    <w:tmpl w:val="CE702FC2"/>
    <w:lvl w:ilvl="0" w:tplc="91CA5AA4">
      <w:start w:val="1"/>
      <w:numFmt w:val="decimal"/>
      <w:lvlText w:val="%1."/>
      <w:lvlJc w:val="left"/>
      <w:pPr>
        <w:ind w:left="360" w:hanging="360"/>
      </w:pPr>
      <w:rPr>
        <w:rFonts w:hint="default"/>
        <w:b/>
        <w:bCs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5218257C"/>
    <w:multiLevelType w:val="hybridMultilevel"/>
    <w:tmpl w:val="A5845E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2892AAF"/>
    <w:multiLevelType w:val="hybridMultilevel"/>
    <w:tmpl w:val="9F0885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2F669F7"/>
    <w:multiLevelType w:val="hybridMultilevel"/>
    <w:tmpl w:val="8004A4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41B688A"/>
    <w:multiLevelType w:val="hybridMultilevel"/>
    <w:tmpl w:val="DAF0B0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4D53ED6"/>
    <w:multiLevelType w:val="hybridMultilevel"/>
    <w:tmpl w:val="0BFE88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A6F2A91"/>
    <w:multiLevelType w:val="hybridMultilevel"/>
    <w:tmpl w:val="1E7034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4B13683"/>
    <w:multiLevelType w:val="hybridMultilevel"/>
    <w:tmpl w:val="187A574C"/>
    <w:lvl w:ilvl="0" w:tplc="0424000B">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7" w15:restartNumberingAfterBreak="0">
    <w:nsid w:val="64D103F9"/>
    <w:multiLevelType w:val="hybridMultilevel"/>
    <w:tmpl w:val="93DAAB1A"/>
    <w:lvl w:ilvl="0" w:tplc="74F42522">
      <w:start w:val="1"/>
      <w:numFmt w:val="decimal"/>
      <w:lvlText w:val="%1."/>
      <w:lvlJc w:val="left"/>
      <w:pPr>
        <w:ind w:left="720" w:hanging="360"/>
      </w:pPr>
      <w:rPr>
        <w:rFonts w:hint="default"/>
        <w:b/>
        <w:bCs/>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5C03545"/>
    <w:multiLevelType w:val="multilevel"/>
    <w:tmpl w:val="19F412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7987050"/>
    <w:multiLevelType w:val="multilevel"/>
    <w:tmpl w:val="32F40AE2"/>
    <w:lvl w:ilvl="0">
      <w:start w:val="1"/>
      <w:numFmt w:val="decimal"/>
      <w:lvlText w:val="%1."/>
      <w:lvlJc w:val="left"/>
      <w:pPr>
        <w:ind w:left="360" w:hanging="360"/>
      </w:pPr>
      <w:rPr>
        <w:rFonts w:hint="default"/>
        <w:b/>
        <w:u w:val="none"/>
      </w:rPr>
    </w:lvl>
    <w:lvl w:ilvl="1">
      <w:start w:val="1"/>
      <w:numFmt w:val="decimal"/>
      <w:isLgl/>
      <w:lvlText w:val="%1.%2"/>
      <w:lvlJc w:val="left"/>
      <w:pPr>
        <w:ind w:left="765" w:hanging="40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0" w15:restartNumberingAfterBreak="0">
    <w:nsid w:val="6E905104"/>
    <w:multiLevelType w:val="multilevel"/>
    <w:tmpl w:val="19F412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6EA863C3"/>
    <w:multiLevelType w:val="multilevel"/>
    <w:tmpl w:val="D40434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6EF871BE"/>
    <w:multiLevelType w:val="hybridMultilevel"/>
    <w:tmpl w:val="16620AFC"/>
    <w:lvl w:ilvl="0" w:tplc="CD502DE6">
      <w:start w:val="1"/>
      <w:numFmt w:val="decimal"/>
      <w:lvlText w:val="%1."/>
      <w:lvlJc w:val="left"/>
      <w:pPr>
        <w:ind w:left="360" w:hanging="360"/>
      </w:pPr>
      <w:rPr>
        <w:rFonts w:hint="default"/>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3" w15:restartNumberingAfterBreak="0">
    <w:nsid w:val="74372B40"/>
    <w:multiLevelType w:val="multilevel"/>
    <w:tmpl w:val="EE643312"/>
    <w:lvl w:ilvl="0">
      <w:start w:val="1"/>
      <w:numFmt w:val="decimal"/>
      <w:lvlText w:val="%1."/>
      <w:lvlJc w:val="left"/>
      <w:pPr>
        <w:ind w:left="360" w:hanging="360"/>
      </w:pPr>
      <w:rPr>
        <w:rFonts w:hint="default"/>
        <w:b/>
        <w:bCs w:val="0"/>
        <w:u w:val="none"/>
      </w:rPr>
    </w:lvl>
    <w:lvl w:ilvl="1">
      <w:start w:val="4"/>
      <w:numFmt w:val="decimal"/>
      <w:isLgl/>
      <w:lvlText w:val="%1.%2"/>
      <w:lvlJc w:val="left"/>
      <w:pPr>
        <w:ind w:left="450" w:hanging="4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4" w15:restartNumberingAfterBreak="0">
    <w:nsid w:val="75CC720D"/>
    <w:multiLevelType w:val="hybridMultilevel"/>
    <w:tmpl w:val="8564F650"/>
    <w:lvl w:ilvl="0" w:tplc="1D48B558">
      <w:start w:val="1"/>
      <w:numFmt w:val="decimal"/>
      <w:lvlText w:val="%1."/>
      <w:lvlJc w:val="left"/>
      <w:pPr>
        <w:ind w:left="360" w:hanging="360"/>
      </w:pPr>
      <w:rPr>
        <w:rFonts w:hint="default"/>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5" w15:restartNumberingAfterBreak="0">
    <w:nsid w:val="765C0C33"/>
    <w:multiLevelType w:val="hybridMultilevel"/>
    <w:tmpl w:val="EE2EECE0"/>
    <w:lvl w:ilvl="0" w:tplc="04547736">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84B306E"/>
    <w:multiLevelType w:val="multilevel"/>
    <w:tmpl w:val="32F40AE2"/>
    <w:lvl w:ilvl="0">
      <w:start w:val="1"/>
      <w:numFmt w:val="decimal"/>
      <w:lvlText w:val="%1."/>
      <w:lvlJc w:val="left"/>
      <w:pPr>
        <w:ind w:left="360" w:hanging="360"/>
      </w:pPr>
      <w:rPr>
        <w:rFonts w:hint="default"/>
        <w:b/>
        <w:u w:val="none"/>
      </w:rPr>
    </w:lvl>
    <w:lvl w:ilvl="1">
      <w:start w:val="1"/>
      <w:numFmt w:val="decimal"/>
      <w:isLgl/>
      <w:lvlText w:val="%1.%2"/>
      <w:lvlJc w:val="left"/>
      <w:pPr>
        <w:ind w:left="765" w:hanging="40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7" w15:restartNumberingAfterBreak="0">
    <w:nsid w:val="7BC6351C"/>
    <w:multiLevelType w:val="hybridMultilevel"/>
    <w:tmpl w:val="0318E914"/>
    <w:lvl w:ilvl="0" w:tplc="69B0FB9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C5F1DBE"/>
    <w:multiLevelType w:val="hybridMultilevel"/>
    <w:tmpl w:val="997C9E4E"/>
    <w:lvl w:ilvl="0" w:tplc="B1E4EAEA">
      <w:start w:val="1"/>
      <w:numFmt w:val="decimal"/>
      <w:lvlText w:val="%1."/>
      <w:lvlJc w:val="left"/>
      <w:pPr>
        <w:ind w:left="1065" w:hanging="705"/>
      </w:pPr>
      <w:rPr>
        <w:rFonts w:hint="default"/>
        <w:b w:val="0"/>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C731834"/>
    <w:multiLevelType w:val="multilevel"/>
    <w:tmpl w:val="E0A6EA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7E090462"/>
    <w:multiLevelType w:val="hybridMultilevel"/>
    <w:tmpl w:val="E2D0D7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2289952">
    <w:abstractNumId w:val="45"/>
  </w:num>
  <w:num w:numId="2" w16cid:durableId="486363884">
    <w:abstractNumId w:val="36"/>
  </w:num>
  <w:num w:numId="3" w16cid:durableId="602803051">
    <w:abstractNumId w:val="33"/>
  </w:num>
  <w:num w:numId="4" w16cid:durableId="928196668">
    <w:abstractNumId w:val="29"/>
  </w:num>
  <w:num w:numId="5" w16cid:durableId="1046102057">
    <w:abstractNumId w:val="34"/>
  </w:num>
  <w:num w:numId="6" w16cid:durableId="257715557">
    <w:abstractNumId w:val="44"/>
  </w:num>
  <w:num w:numId="7" w16cid:durableId="909853910">
    <w:abstractNumId w:val="35"/>
  </w:num>
  <w:num w:numId="8" w16cid:durableId="849101078">
    <w:abstractNumId w:val="12"/>
  </w:num>
  <w:num w:numId="9" w16cid:durableId="470094133">
    <w:abstractNumId w:val="40"/>
  </w:num>
  <w:num w:numId="10" w16cid:durableId="2054184515">
    <w:abstractNumId w:val="38"/>
  </w:num>
  <w:num w:numId="11" w16cid:durableId="2022315047">
    <w:abstractNumId w:val="19"/>
  </w:num>
  <w:num w:numId="12" w16cid:durableId="1082947775">
    <w:abstractNumId w:val="39"/>
  </w:num>
  <w:num w:numId="13" w16cid:durableId="739720007">
    <w:abstractNumId w:val="5"/>
  </w:num>
  <w:num w:numId="14" w16cid:durableId="1444499511">
    <w:abstractNumId w:val="15"/>
  </w:num>
  <w:num w:numId="15" w16cid:durableId="1676568935">
    <w:abstractNumId w:val="23"/>
  </w:num>
  <w:num w:numId="16" w16cid:durableId="1123033423">
    <w:abstractNumId w:val="54"/>
  </w:num>
  <w:num w:numId="17" w16cid:durableId="989600019">
    <w:abstractNumId w:val="8"/>
  </w:num>
  <w:num w:numId="18" w16cid:durableId="572738425">
    <w:abstractNumId w:val="52"/>
  </w:num>
  <w:num w:numId="19" w16cid:durableId="1529373323">
    <w:abstractNumId w:val="53"/>
  </w:num>
  <w:num w:numId="20" w16cid:durableId="630134967">
    <w:abstractNumId w:val="11"/>
  </w:num>
  <w:num w:numId="21" w16cid:durableId="2045448413">
    <w:abstractNumId w:val="48"/>
  </w:num>
  <w:num w:numId="22" w16cid:durableId="503861390">
    <w:abstractNumId w:val="59"/>
  </w:num>
  <w:num w:numId="23" w16cid:durableId="1628245245">
    <w:abstractNumId w:val="30"/>
  </w:num>
  <w:num w:numId="24" w16cid:durableId="2145466553">
    <w:abstractNumId w:val="50"/>
  </w:num>
  <w:num w:numId="25" w16cid:durableId="274948319">
    <w:abstractNumId w:val="31"/>
  </w:num>
  <w:num w:numId="26" w16cid:durableId="1478956151">
    <w:abstractNumId w:val="1"/>
  </w:num>
  <w:num w:numId="27" w16cid:durableId="329522504">
    <w:abstractNumId w:val="7"/>
  </w:num>
  <w:num w:numId="28" w16cid:durableId="2059085774">
    <w:abstractNumId w:val="42"/>
  </w:num>
  <w:num w:numId="29" w16cid:durableId="1670403847">
    <w:abstractNumId w:val="2"/>
  </w:num>
  <w:num w:numId="30" w16cid:durableId="1355493261">
    <w:abstractNumId w:val="25"/>
  </w:num>
  <w:num w:numId="31" w16cid:durableId="672152197">
    <w:abstractNumId w:val="21"/>
  </w:num>
  <w:num w:numId="32" w16cid:durableId="914555039">
    <w:abstractNumId w:val="57"/>
  </w:num>
  <w:num w:numId="33" w16cid:durableId="751242657">
    <w:abstractNumId w:val="22"/>
  </w:num>
  <w:num w:numId="34" w16cid:durableId="1566574844">
    <w:abstractNumId w:val="43"/>
  </w:num>
  <w:num w:numId="35" w16cid:durableId="1200510">
    <w:abstractNumId w:val="6"/>
  </w:num>
  <w:num w:numId="36" w16cid:durableId="854685900">
    <w:abstractNumId w:val="16"/>
  </w:num>
  <w:num w:numId="37" w16cid:durableId="125510694">
    <w:abstractNumId w:val="55"/>
  </w:num>
  <w:num w:numId="38" w16cid:durableId="1817602441">
    <w:abstractNumId w:val="27"/>
  </w:num>
  <w:num w:numId="39" w16cid:durableId="1741633579">
    <w:abstractNumId w:val="28"/>
  </w:num>
  <w:num w:numId="40" w16cid:durableId="63458481">
    <w:abstractNumId w:val="14"/>
  </w:num>
  <w:num w:numId="41" w16cid:durableId="1229153333">
    <w:abstractNumId w:val="24"/>
  </w:num>
  <w:num w:numId="42" w16cid:durableId="1255892729">
    <w:abstractNumId w:val="37"/>
  </w:num>
  <w:num w:numId="43" w16cid:durableId="67391198">
    <w:abstractNumId w:val="47"/>
  </w:num>
  <w:num w:numId="44" w16cid:durableId="1296445890">
    <w:abstractNumId w:val="18"/>
  </w:num>
  <w:num w:numId="45" w16cid:durableId="644509103">
    <w:abstractNumId w:val="10"/>
  </w:num>
  <w:num w:numId="46" w16cid:durableId="10862699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91383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22410294">
    <w:abstractNumId w:val="0"/>
  </w:num>
  <w:num w:numId="49" w16cid:durableId="571768699">
    <w:abstractNumId w:val="33"/>
  </w:num>
  <w:num w:numId="50" w16cid:durableId="1161312674">
    <w:abstractNumId w:val="3"/>
  </w:num>
  <w:num w:numId="51" w16cid:durableId="493186864">
    <w:abstractNumId w:val="17"/>
  </w:num>
  <w:num w:numId="52" w16cid:durableId="2139950195">
    <w:abstractNumId w:val="4"/>
  </w:num>
  <w:num w:numId="53" w16cid:durableId="383674270">
    <w:abstractNumId w:val="56"/>
  </w:num>
  <w:num w:numId="54" w16cid:durableId="37626666">
    <w:abstractNumId w:val="49"/>
  </w:num>
  <w:num w:numId="55" w16cid:durableId="291642283">
    <w:abstractNumId w:val="9"/>
  </w:num>
  <w:num w:numId="56" w16cid:durableId="117723346">
    <w:abstractNumId w:val="58"/>
  </w:num>
  <w:num w:numId="57" w16cid:durableId="2088841980">
    <w:abstractNumId w:val="33"/>
  </w:num>
  <w:num w:numId="58" w16cid:durableId="659583648">
    <w:abstractNumId w:val="33"/>
  </w:num>
  <w:num w:numId="59" w16cid:durableId="1650131883">
    <w:abstractNumId w:val="60"/>
  </w:num>
  <w:num w:numId="60" w16cid:durableId="2895518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433803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65214796">
    <w:abstractNumId w:val="13"/>
  </w:num>
  <w:num w:numId="63" w16cid:durableId="1354305962">
    <w:abstractNumId w:val="46"/>
  </w:num>
  <w:num w:numId="64" w16cid:durableId="386874820">
    <w:abstractNumId w:val="41"/>
  </w:num>
  <w:num w:numId="65" w16cid:durableId="21055253">
    <w:abstractNumId w:val="20"/>
  </w:num>
  <w:num w:numId="66" w16cid:durableId="932512300">
    <w:abstractNumId w:val="26"/>
  </w:num>
  <w:num w:numId="67" w16cid:durableId="1751123098">
    <w:abstractNumId w:val="32"/>
  </w:num>
  <w:num w:numId="68" w16cid:durableId="610166655">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62"/>
    <w:rsid w:val="00001565"/>
    <w:rsid w:val="00001AA8"/>
    <w:rsid w:val="00001F72"/>
    <w:rsid w:val="00003873"/>
    <w:rsid w:val="000048C4"/>
    <w:rsid w:val="00005649"/>
    <w:rsid w:val="00010095"/>
    <w:rsid w:val="000104AA"/>
    <w:rsid w:val="000107C9"/>
    <w:rsid w:val="00010B56"/>
    <w:rsid w:val="0001101A"/>
    <w:rsid w:val="000118C5"/>
    <w:rsid w:val="00011A35"/>
    <w:rsid w:val="00012756"/>
    <w:rsid w:val="0001469E"/>
    <w:rsid w:val="00015410"/>
    <w:rsid w:val="00016838"/>
    <w:rsid w:val="00016A9B"/>
    <w:rsid w:val="00016F59"/>
    <w:rsid w:val="0001720A"/>
    <w:rsid w:val="00017693"/>
    <w:rsid w:val="00020EC6"/>
    <w:rsid w:val="00021DF2"/>
    <w:rsid w:val="00021EE6"/>
    <w:rsid w:val="0002218F"/>
    <w:rsid w:val="00022534"/>
    <w:rsid w:val="0002464A"/>
    <w:rsid w:val="000246AF"/>
    <w:rsid w:val="00025213"/>
    <w:rsid w:val="0002791C"/>
    <w:rsid w:val="00031FD1"/>
    <w:rsid w:val="00032598"/>
    <w:rsid w:val="00032AE5"/>
    <w:rsid w:val="00033770"/>
    <w:rsid w:val="00033BFC"/>
    <w:rsid w:val="000352D5"/>
    <w:rsid w:val="00035CE6"/>
    <w:rsid w:val="0003625F"/>
    <w:rsid w:val="00040952"/>
    <w:rsid w:val="000426A0"/>
    <w:rsid w:val="00042B2E"/>
    <w:rsid w:val="00042CC5"/>
    <w:rsid w:val="00042D7A"/>
    <w:rsid w:val="00043D70"/>
    <w:rsid w:val="00044FC5"/>
    <w:rsid w:val="000453B0"/>
    <w:rsid w:val="0004799B"/>
    <w:rsid w:val="0005062D"/>
    <w:rsid w:val="00050916"/>
    <w:rsid w:val="00050B35"/>
    <w:rsid w:val="0005178C"/>
    <w:rsid w:val="00051EC8"/>
    <w:rsid w:val="000520B8"/>
    <w:rsid w:val="00053486"/>
    <w:rsid w:val="0005352C"/>
    <w:rsid w:val="00054E9B"/>
    <w:rsid w:val="00055005"/>
    <w:rsid w:val="00055A34"/>
    <w:rsid w:val="0006164B"/>
    <w:rsid w:val="0006166D"/>
    <w:rsid w:val="00064035"/>
    <w:rsid w:val="00064538"/>
    <w:rsid w:val="00065705"/>
    <w:rsid w:val="00067F90"/>
    <w:rsid w:val="00070FAB"/>
    <w:rsid w:val="000717DE"/>
    <w:rsid w:val="00071968"/>
    <w:rsid w:val="00072F3F"/>
    <w:rsid w:val="000744EA"/>
    <w:rsid w:val="000756F7"/>
    <w:rsid w:val="00076FA4"/>
    <w:rsid w:val="000770D7"/>
    <w:rsid w:val="00077A5D"/>
    <w:rsid w:val="00080013"/>
    <w:rsid w:val="00080F48"/>
    <w:rsid w:val="0008411C"/>
    <w:rsid w:val="000857DB"/>
    <w:rsid w:val="00086F97"/>
    <w:rsid w:val="00086F9A"/>
    <w:rsid w:val="0008794E"/>
    <w:rsid w:val="00087EF1"/>
    <w:rsid w:val="00091C6B"/>
    <w:rsid w:val="00092674"/>
    <w:rsid w:val="000928EA"/>
    <w:rsid w:val="0009317C"/>
    <w:rsid w:val="000939FA"/>
    <w:rsid w:val="00094BD6"/>
    <w:rsid w:val="00094DEC"/>
    <w:rsid w:val="00094F76"/>
    <w:rsid w:val="00096901"/>
    <w:rsid w:val="000A1A82"/>
    <w:rsid w:val="000A1F26"/>
    <w:rsid w:val="000A35CD"/>
    <w:rsid w:val="000A5626"/>
    <w:rsid w:val="000A5BC0"/>
    <w:rsid w:val="000A760B"/>
    <w:rsid w:val="000B01DE"/>
    <w:rsid w:val="000B0600"/>
    <w:rsid w:val="000B0CAA"/>
    <w:rsid w:val="000B2844"/>
    <w:rsid w:val="000B3E1A"/>
    <w:rsid w:val="000B3F6A"/>
    <w:rsid w:val="000B42D1"/>
    <w:rsid w:val="000B5802"/>
    <w:rsid w:val="000B732B"/>
    <w:rsid w:val="000B76E1"/>
    <w:rsid w:val="000B7D8E"/>
    <w:rsid w:val="000C054E"/>
    <w:rsid w:val="000C15B7"/>
    <w:rsid w:val="000C213A"/>
    <w:rsid w:val="000C270C"/>
    <w:rsid w:val="000C7E43"/>
    <w:rsid w:val="000D1264"/>
    <w:rsid w:val="000D1A1E"/>
    <w:rsid w:val="000D278F"/>
    <w:rsid w:val="000D2E5A"/>
    <w:rsid w:val="000D57F1"/>
    <w:rsid w:val="000D68B5"/>
    <w:rsid w:val="000D6E16"/>
    <w:rsid w:val="000D71A7"/>
    <w:rsid w:val="000E067A"/>
    <w:rsid w:val="000E25B8"/>
    <w:rsid w:val="000E291A"/>
    <w:rsid w:val="000E3A83"/>
    <w:rsid w:val="000E4AA6"/>
    <w:rsid w:val="000E5289"/>
    <w:rsid w:val="000E6300"/>
    <w:rsid w:val="000E6536"/>
    <w:rsid w:val="000F0B8C"/>
    <w:rsid w:val="000F0BA6"/>
    <w:rsid w:val="000F0D84"/>
    <w:rsid w:val="000F4BFD"/>
    <w:rsid w:val="000F4CBC"/>
    <w:rsid w:val="000F5384"/>
    <w:rsid w:val="000F570F"/>
    <w:rsid w:val="000F5D40"/>
    <w:rsid w:val="000F71C9"/>
    <w:rsid w:val="00101054"/>
    <w:rsid w:val="00101768"/>
    <w:rsid w:val="001032A5"/>
    <w:rsid w:val="0010404D"/>
    <w:rsid w:val="0010612F"/>
    <w:rsid w:val="0010671D"/>
    <w:rsid w:val="00106808"/>
    <w:rsid w:val="00106E51"/>
    <w:rsid w:val="00107831"/>
    <w:rsid w:val="00107A14"/>
    <w:rsid w:val="0011212D"/>
    <w:rsid w:val="00113150"/>
    <w:rsid w:val="0011459E"/>
    <w:rsid w:val="0011494E"/>
    <w:rsid w:val="00115296"/>
    <w:rsid w:val="00115823"/>
    <w:rsid w:val="00116044"/>
    <w:rsid w:val="001166E4"/>
    <w:rsid w:val="001201BC"/>
    <w:rsid w:val="001204D7"/>
    <w:rsid w:val="00120C0E"/>
    <w:rsid w:val="00120E3C"/>
    <w:rsid w:val="00120F2D"/>
    <w:rsid w:val="001210B4"/>
    <w:rsid w:val="0012151E"/>
    <w:rsid w:val="00121D58"/>
    <w:rsid w:val="001222A4"/>
    <w:rsid w:val="00123AAC"/>
    <w:rsid w:val="001262E5"/>
    <w:rsid w:val="0012641B"/>
    <w:rsid w:val="00127737"/>
    <w:rsid w:val="00131284"/>
    <w:rsid w:val="0013137C"/>
    <w:rsid w:val="00131A57"/>
    <w:rsid w:val="001349B7"/>
    <w:rsid w:val="00135795"/>
    <w:rsid w:val="00137C24"/>
    <w:rsid w:val="00140897"/>
    <w:rsid w:val="001409A8"/>
    <w:rsid w:val="00141E01"/>
    <w:rsid w:val="00143120"/>
    <w:rsid w:val="001440BE"/>
    <w:rsid w:val="001465EC"/>
    <w:rsid w:val="00146988"/>
    <w:rsid w:val="00146EE2"/>
    <w:rsid w:val="001478DA"/>
    <w:rsid w:val="00153651"/>
    <w:rsid w:val="00153954"/>
    <w:rsid w:val="00153B63"/>
    <w:rsid w:val="00154DA6"/>
    <w:rsid w:val="00155B2A"/>
    <w:rsid w:val="00155BA4"/>
    <w:rsid w:val="00155FCE"/>
    <w:rsid w:val="00156A3F"/>
    <w:rsid w:val="001572AE"/>
    <w:rsid w:val="00160FAA"/>
    <w:rsid w:val="00163B3E"/>
    <w:rsid w:val="00164689"/>
    <w:rsid w:val="00164821"/>
    <w:rsid w:val="001670D7"/>
    <w:rsid w:val="00170CEB"/>
    <w:rsid w:val="001711A9"/>
    <w:rsid w:val="00174B62"/>
    <w:rsid w:val="00176CC5"/>
    <w:rsid w:val="00177096"/>
    <w:rsid w:val="00180654"/>
    <w:rsid w:val="00181B2D"/>
    <w:rsid w:val="0018408C"/>
    <w:rsid w:val="0018590E"/>
    <w:rsid w:val="00186949"/>
    <w:rsid w:val="00192512"/>
    <w:rsid w:val="001944E7"/>
    <w:rsid w:val="001949D1"/>
    <w:rsid w:val="0019731D"/>
    <w:rsid w:val="001A0E06"/>
    <w:rsid w:val="001A1805"/>
    <w:rsid w:val="001A2407"/>
    <w:rsid w:val="001A2938"/>
    <w:rsid w:val="001A29A6"/>
    <w:rsid w:val="001A2E68"/>
    <w:rsid w:val="001A3B93"/>
    <w:rsid w:val="001A6C8D"/>
    <w:rsid w:val="001B1525"/>
    <w:rsid w:val="001B2907"/>
    <w:rsid w:val="001B2CAA"/>
    <w:rsid w:val="001B375B"/>
    <w:rsid w:val="001B40AC"/>
    <w:rsid w:val="001B450C"/>
    <w:rsid w:val="001B4A81"/>
    <w:rsid w:val="001B699E"/>
    <w:rsid w:val="001B70AD"/>
    <w:rsid w:val="001B76B1"/>
    <w:rsid w:val="001C1337"/>
    <w:rsid w:val="001C1403"/>
    <w:rsid w:val="001C3657"/>
    <w:rsid w:val="001C3A98"/>
    <w:rsid w:val="001C58EB"/>
    <w:rsid w:val="001C6434"/>
    <w:rsid w:val="001C6526"/>
    <w:rsid w:val="001C675C"/>
    <w:rsid w:val="001C6C29"/>
    <w:rsid w:val="001C7012"/>
    <w:rsid w:val="001D0506"/>
    <w:rsid w:val="001D0BF3"/>
    <w:rsid w:val="001D2077"/>
    <w:rsid w:val="001D2761"/>
    <w:rsid w:val="001D2C7E"/>
    <w:rsid w:val="001D2F63"/>
    <w:rsid w:val="001D301D"/>
    <w:rsid w:val="001D45C4"/>
    <w:rsid w:val="001D5A38"/>
    <w:rsid w:val="001E02D5"/>
    <w:rsid w:val="001E084B"/>
    <w:rsid w:val="001E184C"/>
    <w:rsid w:val="001E28B7"/>
    <w:rsid w:val="001E325F"/>
    <w:rsid w:val="001E41C7"/>
    <w:rsid w:val="001E4341"/>
    <w:rsid w:val="001E530A"/>
    <w:rsid w:val="001E5969"/>
    <w:rsid w:val="001E59F3"/>
    <w:rsid w:val="001E6490"/>
    <w:rsid w:val="001F197B"/>
    <w:rsid w:val="001F3068"/>
    <w:rsid w:val="001F3ABB"/>
    <w:rsid w:val="001F4B09"/>
    <w:rsid w:val="001F7063"/>
    <w:rsid w:val="001F7CD1"/>
    <w:rsid w:val="001F7EA3"/>
    <w:rsid w:val="00201F5A"/>
    <w:rsid w:val="00203A8E"/>
    <w:rsid w:val="00203ED8"/>
    <w:rsid w:val="002048B8"/>
    <w:rsid w:val="00204DED"/>
    <w:rsid w:val="00204FB5"/>
    <w:rsid w:val="0020529A"/>
    <w:rsid w:val="002056D5"/>
    <w:rsid w:val="0020591E"/>
    <w:rsid w:val="00207074"/>
    <w:rsid w:val="00207E62"/>
    <w:rsid w:val="00210EDE"/>
    <w:rsid w:val="0021152F"/>
    <w:rsid w:val="00211CE7"/>
    <w:rsid w:val="00213F7B"/>
    <w:rsid w:val="00220320"/>
    <w:rsid w:val="00221255"/>
    <w:rsid w:val="00223342"/>
    <w:rsid w:val="0022402B"/>
    <w:rsid w:val="00226E18"/>
    <w:rsid w:val="0022719D"/>
    <w:rsid w:val="00227DE7"/>
    <w:rsid w:val="00233962"/>
    <w:rsid w:val="002349A1"/>
    <w:rsid w:val="00235DB1"/>
    <w:rsid w:val="00237A0F"/>
    <w:rsid w:val="00237AE7"/>
    <w:rsid w:val="00237F66"/>
    <w:rsid w:val="002425B1"/>
    <w:rsid w:val="00242957"/>
    <w:rsid w:val="002437D3"/>
    <w:rsid w:val="00245007"/>
    <w:rsid w:val="0024641A"/>
    <w:rsid w:val="00246656"/>
    <w:rsid w:val="00247725"/>
    <w:rsid w:val="00247FF0"/>
    <w:rsid w:val="00250E2D"/>
    <w:rsid w:val="00251445"/>
    <w:rsid w:val="0025259B"/>
    <w:rsid w:val="00252AA9"/>
    <w:rsid w:val="00252B4A"/>
    <w:rsid w:val="002534F3"/>
    <w:rsid w:val="00253C2F"/>
    <w:rsid w:val="00254FDE"/>
    <w:rsid w:val="002558BB"/>
    <w:rsid w:val="002562B6"/>
    <w:rsid w:val="00256849"/>
    <w:rsid w:val="00257207"/>
    <w:rsid w:val="00257D02"/>
    <w:rsid w:val="00257FB9"/>
    <w:rsid w:val="0026236D"/>
    <w:rsid w:val="002631D1"/>
    <w:rsid w:val="002639FC"/>
    <w:rsid w:val="00263A15"/>
    <w:rsid w:val="00264D28"/>
    <w:rsid w:val="00264E10"/>
    <w:rsid w:val="002654DD"/>
    <w:rsid w:val="00265B3B"/>
    <w:rsid w:val="002660AF"/>
    <w:rsid w:val="0026622F"/>
    <w:rsid w:val="00270933"/>
    <w:rsid w:val="00270E66"/>
    <w:rsid w:val="00272667"/>
    <w:rsid w:val="00272DCA"/>
    <w:rsid w:val="00273279"/>
    <w:rsid w:val="00274B97"/>
    <w:rsid w:val="00275764"/>
    <w:rsid w:val="00275943"/>
    <w:rsid w:val="00276466"/>
    <w:rsid w:val="00281F41"/>
    <w:rsid w:val="002827C3"/>
    <w:rsid w:val="00283FA2"/>
    <w:rsid w:val="0028466F"/>
    <w:rsid w:val="00284DF8"/>
    <w:rsid w:val="0028793B"/>
    <w:rsid w:val="0029111A"/>
    <w:rsid w:val="00291DD1"/>
    <w:rsid w:val="00292033"/>
    <w:rsid w:val="00292633"/>
    <w:rsid w:val="00292647"/>
    <w:rsid w:val="00295B98"/>
    <w:rsid w:val="00296A78"/>
    <w:rsid w:val="00296CD8"/>
    <w:rsid w:val="002A32B6"/>
    <w:rsid w:val="002A433B"/>
    <w:rsid w:val="002A50B8"/>
    <w:rsid w:val="002A5C03"/>
    <w:rsid w:val="002A5C88"/>
    <w:rsid w:val="002A6041"/>
    <w:rsid w:val="002A614B"/>
    <w:rsid w:val="002A7B16"/>
    <w:rsid w:val="002B236C"/>
    <w:rsid w:val="002B382C"/>
    <w:rsid w:val="002B3B9B"/>
    <w:rsid w:val="002B3BA9"/>
    <w:rsid w:val="002B5387"/>
    <w:rsid w:val="002B6814"/>
    <w:rsid w:val="002C2E7C"/>
    <w:rsid w:val="002C4C93"/>
    <w:rsid w:val="002C5664"/>
    <w:rsid w:val="002C7183"/>
    <w:rsid w:val="002C7481"/>
    <w:rsid w:val="002D01F5"/>
    <w:rsid w:val="002D14BD"/>
    <w:rsid w:val="002D1DD8"/>
    <w:rsid w:val="002D21D0"/>
    <w:rsid w:val="002D2511"/>
    <w:rsid w:val="002D36A9"/>
    <w:rsid w:val="002E010F"/>
    <w:rsid w:val="002E1270"/>
    <w:rsid w:val="002E12F5"/>
    <w:rsid w:val="002E1975"/>
    <w:rsid w:val="002E2DC8"/>
    <w:rsid w:val="002E2DF9"/>
    <w:rsid w:val="002E48C1"/>
    <w:rsid w:val="002E5665"/>
    <w:rsid w:val="002E574A"/>
    <w:rsid w:val="002E6189"/>
    <w:rsid w:val="002E7831"/>
    <w:rsid w:val="002E78F8"/>
    <w:rsid w:val="002F077F"/>
    <w:rsid w:val="002F0D1F"/>
    <w:rsid w:val="002F148B"/>
    <w:rsid w:val="002F316C"/>
    <w:rsid w:val="002F329E"/>
    <w:rsid w:val="002F4624"/>
    <w:rsid w:val="002F4DB1"/>
    <w:rsid w:val="002F4E2B"/>
    <w:rsid w:val="002F4E90"/>
    <w:rsid w:val="002F5EB5"/>
    <w:rsid w:val="002F65C9"/>
    <w:rsid w:val="002F6A67"/>
    <w:rsid w:val="002F6A92"/>
    <w:rsid w:val="002F6CD1"/>
    <w:rsid w:val="002F710D"/>
    <w:rsid w:val="002F73CE"/>
    <w:rsid w:val="00300750"/>
    <w:rsid w:val="003007BF"/>
    <w:rsid w:val="0030189D"/>
    <w:rsid w:val="00302615"/>
    <w:rsid w:val="00302B70"/>
    <w:rsid w:val="00304899"/>
    <w:rsid w:val="00305A7D"/>
    <w:rsid w:val="00306117"/>
    <w:rsid w:val="003066E3"/>
    <w:rsid w:val="00310631"/>
    <w:rsid w:val="00311277"/>
    <w:rsid w:val="003128BA"/>
    <w:rsid w:val="00313C2B"/>
    <w:rsid w:val="00314AFF"/>
    <w:rsid w:val="00316156"/>
    <w:rsid w:val="00317046"/>
    <w:rsid w:val="00320512"/>
    <w:rsid w:val="0032076E"/>
    <w:rsid w:val="00321023"/>
    <w:rsid w:val="003218C1"/>
    <w:rsid w:val="00321AA9"/>
    <w:rsid w:val="00322F73"/>
    <w:rsid w:val="00323887"/>
    <w:rsid w:val="00325B84"/>
    <w:rsid w:val="00326A60"/>
    <w:rsid w:val="003314FE"/>
    <w:rsid w:val="00331CE0"/>
    <w:rsid w:val="00332771"/>
    <w:rsid w:val="003345C5"/>
    <w:rsid w:val="0034008A"/>
    <w:rsid w:val="003412F3"/>
    <w:rsid w:val="003418AA"/>
    <w:rsid w:val="00343C2F"/>
    <w:rsid w:val="00346B5F"/>
    <w:rsid w:val="00351A1D"/>
    <w:rsid w:val="00351B00"/>
    <w:rsid w:val="00352E2A"/>
    <w:rsid w:val="00353B7D"/>
    <w:rsid w:val="003540F3"/>
    <w:rsid w:val="00354A5C"/>
    <w:rsid w:val="00355BF4"/>
    <w:rsid w:val="0035615E"/>
    <w:rsid w:val="00360577"/>
    <w:rsid w:val="003620A5"/>
    <w:rsid w:val="00363A1D"/>
    <w:rsid w:val="00363F15"/>
    <w:rsid w:val="00365525"/>
    <w:rsid w:val="00365D28"/>
    <w:rsid w:val="00367401"/>
    <w:rsid w:val="00367641"/>
    <w:rsid w:val="003706D8"/>
    <w:rsid w:val="00373675"/>
    <w:rsid w:val="003747C8"/>
    <w:rsid w:val="00374C7D"/>
    <w:rsid w:val="00375582"/>
    <w:rsid w:val="00376997"/>
    <w:rsid w:val="00377F4B"/>
    <w:rsid w:val="00380B14"/>
    <w:rsid w:val="0038162F"/>
    <w:rsid w:val="003819E4"/>
    <w:rsid w:val="00382102"/>
    <w:rsid w:val="003822EF"/>
    <w:rsid w:val="003824F7"/>
    <w:rsid w:val="00383C9D"/>
    <w:rsid w:val="00386940"/>
    <w:rsid w:val="00386BD1"/>
    <w:rsid w:val="003903C5"/>
    <w:rsid w:val="00390550"/>
    <w:rsid w:val="00391DD9"/>
    <w:rsid w:val="00392D22"/>
    <w:rsid w:val="003934E3"/>
    <w:rsid w:val="0039419C"/>
    <w:rsid w:val="00395BA9"/>
    <w:rsid w:val="0039614B"/>
    <w:rsid w:val="003975C0"/>
    <w:rsid w:val="00397911"/>
    <w:rsid w:val="00397D00"/>
    <w:rsid w:val="003A31CD"/>
    <w:rsid w:val="003A3B47"/>
    <w:rsid w:val="003A41E8"/>
    <w:rsid w:val="003A487D"/>
    <w:rsid w:val="003A6687"/>
    <w:rsid w:val="003A727D"/>
    <w:rsid w:val="003B0481"/>
    <w:rsid w:val="003B0606"/>
    <w:rsid w:val="003B1B36"/>
    <w:rsid w:val="003B4ADD"/>
    <w:rsid w:val="003B6AA2"/>
    <w:rsid w:val="003C0600"/>
    <w:rsid w:val="003C1743"/>
    <w:rsid w:val="003C25FD"/>
    <w:rsid w:val="003C2D97"/>
    <w:rsid w:val="003C3ADC"/>
    <w:rsid w:val="003C3F4E"/>
    <w:rsid w:val="003C4DA1"/>
    <w:rsid w:val="003C51B2"/>
    <w:rsid w:val="003C60A4"/>
    <w:rsid w:val="003C6269"/>
    <w:rsid w:val="003C7A8A"/>
    <w:rsid w:val="003C7AB9"/>
    <w:rsid w:val="003D0967"/>
    <w:rsid w:val="003D09B9"/>
    <w:rsid w:val="003D2123"/>
    <w:rsid w:val="003D3E11"/>
    <w:rsid w:val="003D41A1"/>
    <w:rsid w:val="003D5515"/>
    <w:rsid w:val="003D7C8F"/>
    <w:rsid w:val="003D7EDC"/>
    <w:rsid w:val="003E0103"/>
    <w:rsid w:val="003E1090"/>
    <w:rsid w:val="003E244C"/>
    <w:rsid w:val="003E3853"/>
    <w:rsid w:val="003E4478"/>
    <w:rsid w:val="003E46EB"/>
    <w:rsid w:val="003E5520"/>
    <w:rsid w:val="003F0278"/>
    <w:rsid w:val="003F0A4D"/>
    <w:rsid w:val="003F0BB1"/>
    <w:rsid w:val="003F43A7"/>
    <w:rsid w:val="003F6FA4"/>
    <w:rsid w:val="003F7FC9"/>
    <w:rsid w:val="00400D59"/>
    <w:rsid w:val="00404A74"/>
    <w:rsid w:val="00405B8B"/>
    <w:rsid w:val="00405F32"/>
    <w:rsid w:val="004063D2"/>
    <w:rsid w:val="00406DEC"/>
    <w:rsid w:val="00407E93"/>
    <w:rsid w:val="0041003B"/>
    <w:rsid w:val="004104C6"/>
    <w:rsid w:val="004105EE"/>
    <w:rsid w:val="00410F2A"/>
    <w:rsid w:val="00412362"/>
    <w:rsid w:val="00412FB9"/>
    <w:rsid w:val="00413CB2"/>
    <w:rsid w:val="004140A4"/>
    <w:rsid w:val="00414350"/>
    <w:rsid w:val="00415CD3"/>
    <w:rsid w:val="0041738D"/>
    <w:rsid w:val="0041773C"/>
    <w:rsid w:val="00417F6C"/>
    <w:rsid w:val="004201AA"/>
    <w:rsid w:val="00421597"/>
    <w:rsid w:val="004246A9"/>
    <w:rsid w:val="00424C43"/>
    <w:rsid w:val="0042619D"/>
    <w:rsid w:val="00426385"/>
    <w:rsid w:val="0042657C"/>
    <w:rsid w:val="004318F3"/>
    <w:rsid w:val="00436039"/>
    <w:rsid w:val="00436DB7"/>
    <w:rsid w:val="0043755E"/>
    <w:rsid w:val="0044190D"/>
    <w:rsid w:val="00443178"/>
    <w:rsid w:val="00446D40"/>
    <w:rsid w:val="00446EFA"/>
    <w:rsid w:val="0044716A"/>
    <w:rsid w:val="00450478"/>
    <w:rsid w:val="004504A2"/>
    <w:rsid w:val="0045192D"/>
    <w:rsid w:val="00453AF4"/>
    <w:rsid w:val="00456B37"/>
    <w:rsid w:val="00456D06"/>
    <w:rsid w:val="004570AD"/>
    <w:rsid w:val="0045789C"/>
    <w:rsid w:val="00460454"/>
    <w:rsid w:val="004610FC"/>
    <w:rsid w:val="0046230F"/>
    <w:rsid w:val="004639D3"/>
    <w:rsid w:val="00465441"/>
    <w:rsid w:val="00465983"/>
    <w:rsid w:val="00466BD5"/>
    <w:rsid w:val="00466CB8"/>
    <w:rsid w:val="00467C5E"/>
    <w:rsid w:val="0047042E"/>
    <w:rsid w:val="00470873"/>
    <w:rsid w:val="00471295"/>
    <w:rsid w:val="00471296"/>
    <w:rsid w:val="00475B5C"/>
    <w:rsid w:val="00480E96"/>
    <w:rsid w:val="004812BE"/>
    <w:rsid w:val="0048224C"/>
    <w:rsid w:val="00482718"/>
    <w:rsid w:val="00485467"/>
    <w:rsid w:val="0048585E"/>
    <w:rsid w:val="0048726D"/>
    <w:rsid w:val="00487B5C"/>
    <w:rsid w:val="00492211"/>
    <w:rsid w:val="004922C2"/>
    <w:rsid w:val="00493191"/>
    <w:rsid w:val="004934BE"/>
    <w:rsid w:val="004948A5"/>
    <w:rsid w:val="0049644E"/>
    <w:rsid w:val="00496BFD"/>
    <w:rsid w:val="004A05CA"/>
    <w:rsid w:val="004A2006"/>
    <w:rsid w:val="004A3665"/>
    <w:rsid w:val="004A398C"/>
    <w:rsid w:val="004A7220"/>
    <w:rsid w:val="004B134A"/>
    <w:rsid w:val="004B3A39"/>
    <w:rsid w:val="004B3CD0"/>
    <w:rsid w:val="004B5CEF"/>
    <w:rsid w:val="004B7A56"/>
    <w:rsid w:val="004C16A5"/>
    <w:rsid w:val="004C1B88"/>
    <w:rsid w:val="004C33CF"/>
    <w:rsid w:val="004C3815"/>
    <w:rsid w:val="004C408C"/>
    <w:rsid w:val="004C5188"/>
    <w:rsid w:val="004C52DE"/>
    <w:rsid w:val="004C562C"/>
    <w:rsid w:val="004C5D8A"/>
    <w:rsid w:val="004C7476"/>
    <w:rsid w:val="004D3EE8"/>
    <w:rsid w:val="004D50A3"/>
    <w:rsid w:val="004D5DB2"/>
    <w:rsid w:val="004D6BBD"/>
    <w:rsid w:val="004E17A6"/>
    <w:rsid w:val="004E1AA5"/>
    <w:rsid w:val="004E3006"/>
    <w:rsid w:val="004E3724"/>
    <w:rsid w:val="004E42C1"/>
    <w:rsid w:val="004E4554"/>
    <w:rsid w:val="004E4DD8"/>
    <w:rsid w:val="004E4F3D"/>
    <w:rsid w:val="004E50F9"/>
    <w:rsid w:val="004E5354"/>
    <w:rsid w:val="004F1641"/>
    <w:rsid w:val="004F18F2"/>
    <w:rsid w:val="004F24BB"/>
    <w:rsid w:val="004F2CE6"/>
    <w:rsid w:val="004F3D32"/>
    <w:rsid w:val="004F3E8F"/>
    <w:rsid w:val="004F4AEF"/>
    <w:rsid w:val="004F54D0"/>
    <w:rsid w:val="004F75C9"/>
    <w:rsid w:val="004F7C51"/>
    <w:rsid w:val="005003CF"/>
    <w:rsid w:val="005035B5"/>
    <w:rsid w:val="00505F20"/>
    <w:rsid w:val="00510EF0"/>
    <w:rsid w:val="00511C3B"/>
    <w:rsid w:val="00515025"/>
    <w:rsid w:val="005164FC"/>
    <w:rsid w:val="0051745B"/>
    <w:rsid w:val="00520908"/>
    <w:rsid w:val="00522CEB"/>
    <w:rsid w:val="00522D43"/>
    <w:rsid w:val="00524276"/>
    <w:rsid w:val="005249D5"/>
    <w:rsid w:val="0052645C"/>
    <w:rsid w:val="005337A1"/>
    <w:rsid w:val="00533CF8"/>
    <w:rsid w:val="00534668"/>
    <w:rsid w:val="00535834"/>
    <w:rsid w:val="00536924"/>
    <w:rsid w:val="00536998"/>
    <w:rsid w:val="00537D22"/>
    <w:rsid w:val="0054090D"/>
    <w:rsid w:val="00540D0D"/>
    <w:rsid w:val="00541896"/>
    <w:rsid w:val="0054210C"/>
    <w:rsid w:val="00542550"/>
    <w:rsid w:val="00543DF9"/>
    <w:rsid w:val="005447ED"/>
    <w:rsid w:val="0054539C"/>
    <w:rsid w:val="00551625"/>
    <w:rsid w:val="00551D83"/>
    <w:rsid w:val="00551D8C"/>
    <w:rsid w:val="005537A6"/>
    <w:rsid w:val="0055623E"/>
    <w:rsid w:val="00556284"/>
    <w:rsid w:val="00556CFF"/>
    <w:rsid w:val="00557ABE"/>
    <w:rsid w:val="00562FA3"/>
    <w:rsid w:val="00563163"/>
    <w:rsid w:val="005653FC"/>
    <w:rsid w:val="0056656E"/>
    <w:rsid w:val="00566C83"/>
    <w:rsid w:val="005676E1"/>
    <w:rsid w:val="00574D71"/>
    <w:rsid w:val="00576A2A"/>
    <w:rsid w:val="005771F4"/>
    <w:rsid w:val="00577732"/>
    <w:rsid w:val="005807DB"/>
    <w:rsid w:val="00580E59"/>
    <w:rsid w:val="00584CFB"/>
    <w:rsid w:val="00586207"/>
    <w:rsid w:val="005874C5"/>
    <w:rsid w:val="00587FDC"/>
    <w:rsid w:val="00590674"/>
    <w:rsid w:val="00592C15"/>
    <w:rsid w:val="00592CC4"/>
    <w:rsid w:val="00593275"/>
    <w:rsid w:val="00594126"/>
    <w:rsid w:val="0059498F"/>
    <w:rsid w:val="00595BB9"/>
    <w:rsid w:val="00596690"/>
    <w:rsid w:val="00596CD9"/>
    <w:rsid w:val="005A0552"/>
    <w:rsid w:val="005A10FB"/>
    <w:rsid w:val="005A2024"/>
    <w:rsid w:val="005A5F30"/>
    <w:rsid w:val="005B1C43"/>
    <w:rsid w:val="005B2082"/>
    <w:rsid w:val="005B3F96"/>
    <w:rsid w:val="005B4519"/>
    <w:rsid w:val="005B4AE2"/>
    <w:rsid w:val="005B5927"/>
    <w:rsid w:val="005B61E3"/>
    <w:rsid w:val="005B655B"/>
    <w:rsid w:val="005B72CB"/>
    <w:rsid w:val="005C05FA"/>
    <w:rsid w:val="005C2E67"/>
    <w:rsid w:val="005C3F67"/>
    <w:rsid w:val="005C7AFE"/>
    <w:rsid w:val="005D05FA"/>
    <w:rsid w:val="005D128F"/>
    <w:rsid w:val="005D13C4"/>
    <w:rsid w:val="005D1CCD"/>
    <w:rsid w:val="005D284B"/>
    <w:rsid w:val="005D478C"/>
    <w:rsid w:val="005D49CD"/>
    <w:rsid w:val="005D55DF"/>
    <w:rsid w:val="005D56E2"/>
    <w:rsid w:val="005D7546"/>
    <w:rsid w:val="005E08D8"/>
    <w:rsid w:val="005E19B1"/>
    <w:rsid w:val="005E19F2"/>
    <w:rsid w:val="005E1D1A"/>
    <w:rsid w:val="005E1E02"/>
    <w:rsid w:val="005E236F"/>
    <w:rsid w:val="005E2C05"/>
    <w:rsid w:val="005E3642"/>
    <w:rsid w:val="005E6266"/>
    <w:rsid w:val="005E6F7D"/>
    <w:rsid w:val="005F0A01"/>
    <w:rsid w:val="005F35D8"/>
    <w:rsid w:val="005F46C8"/>
    <w:rsid w:val="005F4FCE"/>
    <w:rsid w:val="005F53AE"/>
    <w:rsid w:val="005F60F5"/>
    <w:rsid w:val="005F7076"/>
    <w:rsid w:val="005F7D43"/>
    <w:rsid w:val="00600CB1"/>
    <w:rsid w:val="006018D9"/>
    <w:rsid w:val="00602753"/>
    <w:rsid w:val="006032CC"/>
    <w:rsid w:val="00603FFB"/>
    <w:rsid w:val="00604362"/>
    <w:rsid w:val="00604A58"/>
    <w:rsid w:val="00605985"/>
    <w:rsid w:val="006059E7"/>
    <w:rsid w:val="006103FC"/>
    <w:rsid w:val="006104AE"/>
    <w:rsid w:val="006104B7"/>
    <w:rsid w:val="00610573"/>
    <w:rsid w:val="0061152D"/>
    <w:rsid w:val="00612273"/>
    <w:rsid w:val="00612320"/>
    <w:rsid w:val="006127B8"/>
    <w:rsid w:val="006162DF"/>
    <w:rsid w:val="00620580"/>
    <w:rsid w:val="006207EE"/>
    <w:rsid w:val="0062265D"/>
    <w:rsid w:val="00623C54"/>
    <w:rsid w:val="00623E65"/>
    <w:rsid w:val="0062403E"/>
    <w:rsid w:val="006243F9"/>
    <w:rsid w:val="006255E2"/>
    <w:rsid w:val="0062593C"/>
    <w:rsid w:val="00632386"/>
    <w:rsid w:val="006327B9"/>
    <w:rsid w:val="00632D67"/>
    <w:rsid w:val="00637FBD"/>
    <w:rsid w:val="006432F9"/>
    <w:rsid w:val="00644427"/>
    <w:rsid w:val="00645923"/>
    <w:rsid w:val="00646643"/>
    <w:rsid w:val="006466B4"/>
    <w:rsid w:val="006500FD"/>
    <w:rsid w:val="0065027A"/>
    <w:rsid w:val="006544E9"/>
    <w:rsid w:val="0065501A"/>
    <w:rsid w:val="00656C46"/>
    <w:rsid w:val="00656EB5"/>
    <w:rsid w:val="00657948"/>
    <w:rsid w:val="00657F4E"/>
    <w:rsid w:val="00661546"/>
    <w:rsid w:val="00661A5A"/>
    <w:rsid w:val="00662FF2"/>
    <w:rsid w:val="00663034"/>
    <w:rsid w:val="00663683"/>
    <w:rsid w:val="0066461B"/>
    <w:rsid w:val="00665873"/>
    <w:rsid w:val="00665C67"/>
    <w:rsid w:val="0066609B"/>
    <w:rsid w:val="006661AB"/>
    <w:rsid w:val="006662C6"/>
    <w:rsid w:val="0067051B"/>
    <w:rsid w:val="00670DB8"/>
    <w:rsid w:val="00674726"/>
    <w:rsid w:val="00674D19"/>
    <w:rsid w:val="00677D98"/>
    <w:rsid w:val="00677EEB"/>
    <w:rsid w:val="00680842"/>
    <w:rsid w:val="006811E2"/>
    <w:rsid w:val="0068300D"/>
    <w:rsid w:val="006832D1"/>
    <w:rsid w:val="00683764"/>
    <w:rsid w:val="00685A81"/>
    <w:rsid w:val="00686CE8"/>
    <w:rsid w:val="00687EF3"/>
    <w:rsid w:val="006910A7"/>
    <w:rsid w:val="006912E3"/>
    <w:rsid w:val="00691E47"/>
    <w:rsid w:val="00693937"/>
    <w:rsid w:val="00694E4B"/>
    <w:rsid w:val="006959A0"/>
    <w:rsid w:val="00695B6A"/>
    <w:rsid w:val="00695D8A"/>
    <w:rsid w:val="006975FD"/>
    <w:rsid w:val="006978AA"/>
    <w:rsid w:val="006A1BB2"/>
    <w:rsid w:val="006A2E42"/>
    <w:rsid w:val="006A32F1"/>
    <w:rsid w:val="006A453E"/>
    <w:rsid w:val="006A4706"/>
    <w:rsid w:val="006A7175"/>
    <w:rsid w:val="006B110E"/>
    <w:rsid w:val="006B1E7B"/>
    <w:rsid w:val="006B2BDC"/>
    <w:rsid w:val="006B3416"/>
    <w:rsid w:val="006B3ACD"/>
    <w:rsid w:val="006B3F5A"/>
    <w:rsid w:val="006B5E8B"/>
    <w:rsid w:val="006B5F00"/>
    <w:rsid w:val="006C07A4"/>
    <w:rsid w:val="006C15EA"/>
    <w:rsid w:val="006C38FC"/>
    <w:rsid w:val="006C39BF"/>
    <w:rsid w:val="006C5ADC"/>
    <w:rsid w:val="006C68F1"/>
    <w:rsid w:val="006C6DF2"/>
    <w:rsid w:val="006D050F"/>
    <w:rsid w:val="006D2CB4"/>
    <w:rsid w:val="006D3679"/>
    <w:rsid w:val="006D6FD0"/>
    <w:rsid w:val="006D70A1"/>
    <w:rsid w:val="006E1428"/>
    <w:rsid w:val="006E1858"/>
    <w:rsid w:val="006E33AB"/>
    <w:rsid w:val="006E346A"/>
    <w:rsid w:val="006E4F62"/>
    <w:rsid w:val="006E57F7"/>
    <w:rsid w:val="006E5DAB"/>
    <w:rsid w:val="006E683C"/>
    <w:rsid w:val="006E6E59"/>
    <w:rsid w:val="006E7A7D"/>
    <w:rsid w:val="006F0825"/>
    <w:rsid w:val="006F1D3A"/>
    <w:rsid w:val="006F4F70"/>
    <w:rsid w:val="006F586A"/>
    <w:rsid w:val="006F58EC"/>
    <w:rsid w:val="006F71EC"/>
    <w:rsid w:val="0070008F"/>
    <w:rsid w:val="0070037E"/>
    <w:rsid w:val="00701B0A"/>
    <w:rsid w:val="00701F0B"/>
    <w:rsid w:val="007030CD"/>
    <w:rsid w:val="00705D99"/>
    <w:rsid w:val="0070652E"/>
    <w:rsid w:val="00706990"/>
    <w:rsid w:val="00706EC0"/>
    <w:rsid w:val="007070D5"/>
    <w:rsid w:val="00707F21"/>
    <w:rsid w:val="00710925"/>
    <w:rsid w:val="00710C13"/>
    <w:rsid w:val="007119F2"/>
    <w:rsid w:val="007128C5"/>
    <w:rsid w:val="00716CD4"/>
    <w:rsid w:val="00716E50"/>
    <w:rsid w:val="00717857"/>
    <w:rsid w:val="007200FD"/>
    <w:rsid w:val="007207BA"/>
    <w:rsid w:val="0072114F"/>
    <w:rsid w:val="00721352"/>
    <w:rsid w:val="00724DF8"/>
    <w:rsid w:val="007256EA"/>
    <w:rsid w:val="00725C6A"/>
    <w:rsid w:val="0072759B"/>
    <w:rsid w:val="0073004C"/>
    <w:rsid w:val="00730103"/>
    <w:rsid w:val="0073135B"/>
    <w:rsid w:val="00731BB8"/>
    <w:rsid w:val="007334F6"/>
    <w:rsid w:val="00733AEE"/>
    <w:rsid w:val="00734F66"/>
    <w:rsid w:val="00735BBA"/>
    <w:rsid w:val="00737259"/>
    <w:rsid w:val="00737C8D"/>
    <w:rsid w:val="007400DC"/>
    <w:rsid w:val="00740E26"/>
    <w:rsid w:val="0074618E"/>
    <w:rsid w:val="00746D3C"/>
    <w:rsid w:val="0074718D"/>
    <w:rsid w:val="00747756"/>
    <w:rsid w:val="00750A9C"/>
    <w:rsid w:val="00751E57"/>
    <w:rsid w:val="0075203A"/>
    <w:rsid w:val="0075206E"/>
    <w:rsid w:val="00752BD7"/>
    <w:rsid w:val="0075508E"/>
    <w:rsid w:val="00760426"/>
    <w:rsid w:val="007609E0"/>
    <w:rsid w:val="00762B05"/>
    <w:rsid w:val="007632B6"/>
    <w:rsid w:val="00763F64"/>
    <w:rsid w:val="00763FE6"/>
    <w:rsid w:val="00764E46"/>
    <w:rsid w:val="00765084"/>
    <w:rsid w:val="00766DED"/>
    <w:rsid w:val="00767B57"/>
    <w:rsid w:val="007724DD"/>
    <w:rsid w:val="007735E9"/>
    <w:rsid w:val="0077557F"/>
    <w:rsid w:val="00775B7A"/>
    <w:rsid w:val="00777A77"/>
    <w:rsid w:val="0078144D"/>
    <w:rsid w:val="00782246"/>
    <w:rsid w:val="00784805"/>
    <w:rsid w:val="007866B6"/>
    <w:rsid w:val="00786824"/>
    <w:rsid w:val="0079051F"/>
    <w:rsid w:val="007919F6"/>
    <w:rsid w:val="00791DA2"/>
    <w:rsid w:val="00792AFA"/>
    <w:rsid w:val="007949C3"/>
    <w:rsid w:val="007958C1"/>
    <w:rsid w:val="00796B31"/>
    <w:rsid w:val="007A002D"/>
    <w:rsid w:val="007A272D"/>
    <w:rsid w:val="007A2C83"/>
    <w:rsid w:val="007A3FA3"/>
    <w:rsid w:val="007A57CC"/>
    <w:rsid w:val="007A58FE"/>
    <w:rsid w:val="007A6703"/>
    <w:rsid w:val="007A6867"/>
    <w:rsid w:val="007A7C45"/>
    <w:rsid w:val="007B0B45"/>
    <w:rsid w:val="007B1D43"/>
    <w:rsid w:val="007B1F9D"/>
    <w:rsid w:val="007B3EF1"/>
    <w:rsid w:val="007B4208"/>
    <w:rsid w:val="007B5D62"/>
    <w:rsid w:val="007B5D95"/>
    <w:rsid w:val="007B6334"/>
    <w:rsid w:val="007B63E3"/>
    <w:rsid w:val="007B7766"/>
    <w:rsid w:val="007B7BF9"/>
    <w:rsid w:val="007C2722"/>
    <w:rsid w:val="007C3093"/>
    <w:rsid w:val="007C3B5E"/>
    <w:rsid w:val="007C435A"/>
    <w:rsid w:val="007C4871"/>
    <w:rsid w:val="007C5E19"/>
    <w:rsid w:val="007C68AC"/>
    <w:rsid w:val="007C765D"/>
    <w:rsid w:val="007C798B"/>
    <w:rsid w:val="007C7B24"/>
    <w:rsid w:val="007C7D40"/>
    <w:rsid w:val="007D1643"/>
    <w:rsid w:val="007D1A18"/>
    <w:rsid w:val="007D2CFD"/>
    <w:rsid w:val="007D3728"/>
    <w:rsid w:val="007D3967"/>
    <w:rsid w:val="007D3E1F"/>
    <w:rsid w:val="007D4210"/>
    <w:rsid w:val="007D57CB"/>
    <w:rsid w:val="007D614E"/>
    <w:rsid w:val="007D6A65"/>
    <w:rsid w:val="007E0887"/>
    <w:rsid w:val="007E11BA"/>
    <w:rsid w:val="007E36DC"/>
    <w:rsid w:val="007E46FA"/>
    <w:rsid w:val="007E4792"/>
    <w:rsid w:val="007E4A36"/>
    <w:rsid w:val="007E4FDA"/>
    <w:rsid w:val="007E5E8B"/>
    <w:rsid w:val="007E6196"/>
    <w:rsid w:val="007E61BD"/>
    <w:rsid w:val="007E721F"/>
    <w:rsid w:val="007F1889"/>
    <w:rsid w:val="007F1DA2"/>
    <w:rsid w:val="007F3289"/>
    <w:rsid w:val="007F4D66"/>
    <w:rsid w:val="007F5487"/>
    <w:rsid w:val="007F550A"/>
    <w:rsid w:val="007F5F8E"/>
    <w:rsid w:val="007F7A1A"/>
    <w:rsid w:val="00800F02"/>
    <w:rsid w:val="008016C6"/>
    <w:rsid w:val="00801804"/>
    <w:rsid w:val="00801C78"/>
    <w:rsid w:val="0080364F"/>
    <w:rsid w:val="00804E75"/>
    <w:rsid w:val="00805068"/>
    <w:rsid w:val="008057D3"/>
    <w:rsid w:val="0081063D"/>
    <w:rsid w:val="008107B0"/>
    <w:rsid w:val="00810BF2"/>
    <w:rsid w:val="00811995"/>
    <w:rsid w:val="00812B02"/>
    <w:rsid w:val="00814485"/>
    <w:rsid w:val="00817621"/>
    <w:rsid w:val="00822266"/>
    <w:rsid w:val="008223DC"/>
    <w:rsid w:val="0082297A"/>
    <w:rsid w:val="0082397F"/>
    <w:rsid w:val="008265E1"/>
    <w:rsid w:val="00826B0C"/>
    <w:rsid w:val="008274FA"/>
    <w:rsid w:val="00827946"/>
    <w:rsid w:val="00827E77"/>
    <w:rsid w:val="00832215"/>
    <w:rsid w:val="00832B40"/>
    <w:rsid w:val="00833151"/>
    <w:rsid w:val="00836F37"/>
    <w:rsid w:val="00837682"/>
    <w:rsid w:val="008376D7"/>
    <w:rsid w:val="008378FA"/>
    <w:rsid w:val="00840087"/>
    <w:rsid w:val="00840AB9"/>
    <w:rsid w:val="00841D4F"/>
    <w:rsid w:val="00841E4A"/>
    <w:rsid w:val="00841F49"/>
    <w:rsid w:val="008425F0"/>
    <w:rsid w:val="00842F29"/>
    <w:rsid w:val="00845DA1"/>
    <w:rsid w:val="0084632E"/>
    <w:rsid w:val="00846FFE"/>
    <w:rsid w:val="0085032E"/>
    <w:rsid w:val="008521AB"/>
    <w:rsid w:val="0085289F"/>
    <w:rsid w:val="00853A86"/>
    <w:rsid w:val="0085503D"/>
    <w:rsid w:val="008550AD"/>
    <w:rsid w:val="00855B59"/>
    <w:rsid w:val="00856323"/>
    <w:rsid w:val="0085639D"/>
    <w:rsid w:val="008564FF"/>
    <w:rsid w:val="00860FCE"/>
    <w:rsid w:val="008619D3"/>
    <w:rsid w:val="008651F6"/>
    <w:rsid w:val="00865433"/>
    <w:rsid w:val="008654D5"/>
    <w:rsid w:val="00865E34"/>
    <w:rsid w:val="00867332"/>
    <w:rsid w:val="00867D2A"/>
    <w:rsid w:val="00871359"/>
    <w:rsid w:val="00871655"/>
    <w:rsid w:val="008727F0"/>
    <w:rsid w:val="00874065"/>
    <w:rsid w:val="008743E3"/>
    <w:rsid w:val="00875265"/>
    <w:rsid w:val="00875391"/>
    <w:rsid w:val="00876BC7"/>
    <w:rsid w:val="00880950"/>
    <w:rsid w:val="0088252D"/>
    <w:rsid w:val="00882A68"/>
    <w:rsid w:val="008878B8"/>
    <w:rsid w:val="00887B48"/>
    <w:rsid w:val="008909D0"/>
    <w:rsid w:val="00890F46"/>
    <w:rsid w:val="00890F78"/>
    <w:rsid w:val="0089102A"/>
    <w:rsid w:val="00892F5F"/>
    <w:rsid w:val="0089606E"/>
    <w:rsid w:val="00897658"/>
    <w:rsid w:val="008A07CA"/>
    <w:rsid w:val="008A0DC6"/>
    <w:rsid w:val="008A1B2C"/>
    <w:rsid w:val="008A1B5C"/>
    <w:rsid w:val="008A2603"/>
    <w:rsid w:val="008A3796"/>
    <w:rsid w:val="008A44CC"/>
    <w:rsid w:val="008A50EA"/>
    <w:rsid w:val="008A5704"/>
    <w:rsid w:val="008A59C8"/>
    <w:rsid w:val="008A7142"/>
    <w:rsid w:val="008A78C1"/>
    <w:rsid w:val="008B0511"/>
    <w:rsid w:val="008B2E97"/>
    <w:rsid w:val="008B465D"/>
    <w:rsid w:val="008B4EEB"/>
    <w:rsid w:val="008C045B"/>
    <w:rsid w:val="008C150B"/>
    <w:rsid w:val="008C2264"/>
    <w:rsid w:val="008C2690"/>
    <w:rsid w:val="008C2A19"/>
    <w:rsid w:val="008C2C24"/>
    <w:rsid w:val="008C3E2D"/>
    <w:rsid w:val="008C41A5"/>
    <w:rsid w:val="008C5494"/>
    <w:rsid w:val="008D08B0"/>
    <w:rsid w:val="008D1D5B"/>
    <w:rsid w:val="008D1F32"/>
    <w:rsid w:val="008D45FF"/>
    <w:rsid w:val="008D4A97"/>
    <w:rsid w:val="008D64B3"/>
    <w:rsid w:val="008D677B"/>
    <w:rsid w:val="008E059A"/>
    <w:rsid w:val="008E0969"/>
    <w:rsid w:val="008E12EB"/>
    <w:rsid w:val="008E2011"/>
    <w:rsid w:val="008E2504"/>
    <w:rsid w:val="008E354C"/>
    <w:rsid w:val="008E46E0"/>
    <w:rsid w:val="008E633F"/>
    <w:rsid w:val="008F02D0"/>
    <w:rsid w:val="008F175B"/>
    <w:rsid w:val="008F1CB5"/>
    <w:rsid w:val="008F3330"/>
    <w:rsid w:val="008F3407"/>
    <w:rsid w:val="008F3668"/>
    <w:rsid w:val="008F598F"/>
    <w:rsid w:val="008F6854"/>
    <w:rsid w:val="008F6FAD"/>
    <w:rsid w:val="008F7FA8"/>
    <w:rsid w:val="0090092F"/>
    <w:rsid w:val="00902A97"/>
    <w:rsid w:val="00904BC3"/>
    <w:rsid w:val="00906D70"/>
    <w:rsid w:val="00910227"/>
    <w:rsid w:val="00912CB2"/>
    <w:rsid w:val="009145EF"/>
    <w:rsid w:val="00915E6E"/>
    <w:rsid w:val="00917C51"/>
    <w:rsid w:val="009209B7"/>
    <w:rsid w:val="00920A01"/>
    <w:rsid w:val="009230E7"/>
    <w:rsid w:val="00925677"/>
    <w:rsid w:val="0092616D"/>
    <w:rsid w:val="00926580"/>
    <w:rsid w:val="009309B3"/>
    <w:rsid w:val="009315F3"/>
    <w:rsid w:val="00932244"/>
    <w:rsid w:val="00932AA5"/>
    <w:rsid w:val="009339A7"/>
    <w:rsid w:val="00933A09"/>
    <w:rsid w:val="0093748A"/>
    <w:rsid w:val="00941845"/>
    <w:rsid w:val="009419D3"/>
    <w:rsid w:val="00942B5B"/>
    <w:rsid w:val="009442B8"/>
    <w:rsid w:val="00945BC4"/>
    <w:rsid w:val="00945D1A"/>
    <w:rsid w:val="0094679F"/>
    <w:rsid w:val="009469ED"/>
    <w:rsid w:val="00947EF9"/>
    <w:rsid w:val="00950365"/>
    <w:rsid w:val="00951F58"/>
    <w:rsid w:val="00955C3B"/>
    <w:rsid w:val="00956531"/>
    <w:rsid w:val="00960250"/>
    <w:rsid w:val="009614BE"/>
    <w:rsid w:val="009614E2"/>
    <w:rsid w:val="00962514"/>
    <w:rsid w:val="009639BB"/>
    <w:rsid w:val="009662BF"/>
    <w:rsid w:val="00966DFF"/>
    <w:rsid w:val="00967F7B"/>
    <w:rsid w:val="00971403"/>
    <w:rsid w:val="009727CA"/>
    <w:rsid w:val="0098105E"/>
    <w:rsid w:val="009842A8"/>
    <w:rsid w:val="009845EF"/>
    <w:rsid w:val="009854E0"/>
    <w:rsid w:val="00985690"/>
    <w:rsid w:val="0098595C"/>
    <w:rsid w:val="00986499"/>
    <w:rsid w:val="00986929"/>
    <w:rsid w:val="0098712E"/>
    <w:rsid w:val="009906A5"/>
    <w:rsid w:val="009920DE"/>
    <w:rsid w:val="009928CC"/>
    <w:rsid w:val="009933E6"/>
    <w:rsid w:val="009937C0"/>
    <w:rsid w:val="0099599A"/>
    <w:rsid w:val="00996314"/>
    <w:rsid w:val="00996838"/>
    <w:rsid w:val="0099740F"/>
    <w:rsid w:val="009A0F1C"/>
    <w:rsid w:val="009A0FA1"/>
    <w:rsid w:val="009A0FB1"/>
    <w:rsid w:val="009A308F"/>
    <w:rsid w:val="009A31E6"/>
    <w:rsid w:val="009A3BA8"/>
    <w:rsid w:val="009A5DC2"/>
    <w:rsid w:val="009A6BB3"/>
    <w:rsid w:val="009A6C95"/>
    <w:rsid w:val="009A73E2"/>
    <w:rsid w:val="009A7437"/>
    <w:rsid w:val="009A7E35"/>
    <w:rsid w:val="009B01F4"/>
    <w:rsid w:val="009B2B94"/>
    <w:rsid w:val="009B3E96"/>
    <w:rsid w:val="009B579A"/>
    <w:rsid w:val="009B5A8C"/>
    <w:rsid w:val="009B7114"/>
    <w:rsid w:val="009B76E1"/>
    <w:rsid w:val="009C0499"/>
    <w:rsid w:val="009C130B"/>
    <w:rsid w:val="009C1832"/>
    <w:rsid w:val="009C4058"/>
    <w:rsid w:val="009C5C2C"/>
    <w:rsid w:val="009C75E2"/>
    <w:rsid w:val="009C7712"/>
    <w:rsid w:val="009D09E7"/>
    <w:rsid w:val="009D0A30"/>
    <w:rsid w:val="009D0FCC"/>
    <w:rsid w:val="009D12C7"/>
    <w:rsid w:val="009D40EC"/>
    <w:rsid w:val="009D58BF"/>
    <w:rsid w:val="009D63D1"/>
    <w:rsid w:val="009D6AE3"/>
    <w:rsid w:val="009E0F6F"/>
    <w:rsid w:val="009E3E54"/>
    <w:rsid w:val="009E5A3A"/>
    <w:rsid w:val="009E6103"/>
    <w:rsid w:val="009E770A"/>
    <w:rsid w:val="009E7BC8"/>
    <w:rsid w:val="009F0BD0"/>
    <w:rsid w:val="009F0EA2"/>
    <w:rsid w:val="009F16FC"/>
    <w:rsid w:val="009F39F1"/>
    <w:rsid w:val="009F43E0"/>
    <w:rsid w:val="009F5B11"/>
    <w:rsid w:val="009F7A80"/>
    <w:rsid w:val="00A0027C"/>
    <w:rsid w:val="00A009C2"/>
    <w:rsid w:val="00A01B34"/>
    <w:rsid w:val="00A03DC1"/>
    <w:rsid w:val="00A0586F"/>
    <w:rsid w:val="00A05B73"/>
    <w:rsid w:val="00A0677D"/>
    <w:rsid w:val="00A0768C"/>
    <w:rsid w:val="00A07E85"/>
    <w:rsid w:val="00A103E4"/>
    <w:rsid w:val="00A1055B"/>
    <w:rsid w:val="00A11E60"/>
    <w:rsid w:val="00A12AF9"/>
    <w:rsid w:val="00A13E5C"/>
    <w:rsid w:val="00A1715B"/>
    <w:rsid w:val="00A2034F"/>
    <w:rsid w:val="00A24B8B"/>
    <w:rsid w:val="00A2502B"/>
    <w:rsid w:val="00A257B6"/>
    <w:rsid w:val="00A30B8F"/>
    <w:rsid w:val="00A31085"/>
    <w:rsid w:val="00A32266"/>
    <w:rsid w:val="00A337A2"/>
    <w:rsid w:val="00A33F68"/>
    <w:rsid w:val="00A34306"/>
    <w:rsid w:val="00A34573"/>
    <w:rsid w:val="00A359EE"/>
    <w:rsid w:val="00A3639F"/>
    <w:rsid w:val="00A376FF"/>
    <w:rsid w:val="00A4123B"/>
    <w:rsid w:val="00A41C23"/>
    <w:rsid w:val="00A43F69"/>
    <w:rsid w:val="00A44A7B"/>
    <w:rsid w:val="00A45DED"/>
    <w:rsid w:val="00A4764B"/>
    <w:rsid w:val="00A4796C"/>
    <w:rsid w:val="00A47A8B"/>
    <w:rsid w:val="00A51FA8"/>
    <w:rsid w:val="00A54268"/>
    <w:rsid w:val="00A55D4D"/>
    <w:rsid w:val="00A56087"/>
    <w:rsid w:val="00A563A8"/>
    <w:rsid w:val="00A563CF"/>
    <w:rsid w:val="00A56A2D"/>
    <w:rsid w:val="00A5743C"/>
    <w:rsid w:val="00A57E37"/>
    <w:rsid w:val="00A60429"/>
    <w:rsid w:val="00A6229B"/>
    <w:rsid w:val="00A64DBD"/>
    <w:rsid w:val="00A65C45"/>
    <w:rsid w:val="00A65F5B"/>
    <w:rsid w:val="00A70C3B"/>
    <w:rsid w:val="00A71602"/>
    <w:rsid w:val="00A72023"/>
    <w:rsid w:val="00A72AD0"/>
    <w:rsid w:val="00A73D33"/>
    <w:rsid w:val="00A772DC"/>
    <w:rsid w:val="00A8048C"/>
    <w:rsid w:val="00A8063A"/>
    <w:rsid w:val="00A81096"/>
    <w:rsid w:val="00A8136C"/>
    <w:rsid w:val="00A81F01"/>
    <w:rsid w:val="00A8297E"/>
    <w:rsid w:val="00A856AD"/>
    <w:rsid w:val="00A8683D"/>
    <w:rsid w:val="00A8686E"/>
    <w:rsid w:val="00A912F8"/>
    <w:rsid w:val="00A937B2"/>
    <w:rsid w:val="00A96486"/>
    <w:rsid w:val="00AA57FE"/>
    <w:rsid w:val="00AA75C9"/>
    <w:rsid w:val="00AB13B5"/>
    <w:rsid w:val="00AB184D"/>
    <w:rsid w:val="00AB255D"/>
    <w:rsid w:val="00AB33AB"/>
    <w:rsid w:val="00AB5328"/>
    <w:rsid w:val="00AB56D6"/>
    <w:rsid w:val="00AB729D"/>
    <w:rsid w:val="00AB7F04"/>
    <w:rsid w:val="00AC0B47"/>
    <w:rsid w:val="00AC465E"/>
    <w:rsid w:val="00AC70F3"/>
    <w:rsid w:val="00AD08D8"/>
    <w:rsid w:val="00AD15E4"/>
    <w:rsid w:val="00AD1AFD"/>
    <w:rsid w:val="00AD213E"/>
    <w:rsid w:val="00AD3AA6"/>
    <w:rsid w:val="00AD3E33"/>
    <w:rsid w:val="00AD3EF2"/>
    <w:rsid w:val="00AD4206"/>
    <w:rsid w:val="00AD57AB"/>
    <w:rsid w:val="00AD7380"/>
    <w:rsid w:val="00AE1928"/>
    <w:rsid w:val="00AE2D6C"/>
    <w:rsid w:val="00AE452A"/>
    <w:rsid w:val="00AE4A67"/>
    <w:rsid w:val="00AE56C1"/>
    <w:rsid w:val="00AE680A"/>
    <w:rsid w:val="00AE6BB2"/>
    <w:rsid w:val="00AF2F44"/>
    <w:rsid w:val="00AF4D1A"/>
    <w:rsid w:val="00B00C69"/>
    <w:rsid w:val="00B018AE"/>
    <w:rsid w:val="00B0258F"/>
    <w:rsid w:val="00B0294C"/>
    <w:rsid w:val="00B0344F"/>
    <w:rsid w:val="00B04A34"/>
    <w:rsid w:val="00B04D6A"/>
    <w:rsid w:val="00B04FD8"/>
    <w:rsid w:val="00B055B6"/>
    <w:rsid w:val="00B057A2"/>
    <w:rsid w:val="00B06088"/>
    <w:rsid w:val="00B06EE0"/>
    <w:rsid w:val="00B10F92"/>
    <w:rsid w:val="00B11E5A"/>
    <w:rsid w:val="00B12077"/>
    <w:rsid w:val="00B1262A"/>
    <w:rsid w:val="00B131B0"/>
    <w:rsid w:val="00B134D6"/>
    <w:rsid w:val="00B14BEA"/>
    <w:rsid w:val="00B16ADD"/>
    <w:rsid w:val="00B17293"/>
    <w:rsid w:val="00B20C70"/>
    <w:rsid w:val="00B2166D"/>
    <w:rsid w:val="00B21892"/>
    <w:rsid w:val="00B219B8"/>
    <w:rsid w:val="00B2583B"/>
    <w:rsid w:val="00B25AE8"/>
    <w:rsid w:val="00B26891"/>
    <w:rsid w:val="00B2777A"/>
    <w:rsid w:val="00B27DFD"/>
    <w:rsid w:val="00B30B53"/>
    <w:rsid w:val="00B31350"/>
    <w:rsid w:val="00B32032"/>
    <w:rsid w:val="00B32689"/>
    <w:rsid w:val="00B33079"/>
    <w:rsid w:val="00B3504C"/>
    <w:rsid w:val="00B37DE0"/>
    <w:rsid w:val="00B37F74"/>
    <w:rsid w:val="00B42041"/>
    <w:rsid w:val="00B4274A"/>
    <w:rsid w:val="00B42F3B"/>
    <w:rsid w:val="00B4316A"/>
    <w:rsid w:val="00B43F9E"/>
    <w:rsid w:val="00B451E0"/>
    <w:rsid w:val="00B45C2D"/>
    <w:rsid w:val="00B46892"/>
    <w:rsid w:val="00B473FE"/>
    <w:rsid w:val="00B531F8"/>
    <w:rsid w:val="00B53B4B"/>
    <w:rsid w:val="00B55C97"/>
    <w:rsid w:val="00B55DEB"/>
    <w:rsid w:val="00B56689"/>
    <w:rsid w:val="00B56987"/>
    <w:rsid w:val="00B569D0"/>
    <w:rsid w:val="00B6055E"/>
    <w:rsid w:val="00B63427"/>
    <w:rsid w:val="00B63B78"/>
    <w:rsid w:val="00B654D7"/>
    <w:rsid w:val="00B65FD8"/>
    <w:rsid w:val="00B66758"/>
    <w:rsid w:val="00B67A33"/>
    <w:rsid w:val="00B701D0"/>
    <w:rsid w:val="00B720DC"/>
    <w:rsid w:val="00B72974"/>
    <w:rsid w:val="00B74921"/>
    <w:rsid w:val="00B7500A"/>
    <w:rsid w:val="00B757C7"/>
    <w:rsid w:val="00B76C7B"/>
    <w:rsid w:val="00B81147"/>
    <w:rsid w:val="00B836E6"/>
    <w:rsid w:val="00B84483"/>
    <w:rsid w:val="00B84B13"/>
    <w:rsid w:val="00B858D1"/>
    <w:rsid w:val="00B919EB"/>
    <w:rsid w:val="00B93695"/>
    <w:rsid w:val="00B955E4"/>
    <w:rsid w:val="00B95AD4"/>
    <w:rsid w:val="00B9615C"/>
    <w:rsid w:val="00B9737C"/>
    <w:rsid w:val="00BA0B57"/>
    <w:rsid w:val="00BA38A9"/>
    <w:rsid w:val="00BA3D7F"/>
    <w:rsid w:val="00BA5753"/>
    <w:rsid w:val="00BA5AC2"/>
    <w:rsid w:val="00BA68C7"/>
    <w:rsid w:val="00BA7C6A"/>
    <w:rsid w:val="00BB05DB"/>
    <w:rsid w:val="00BB1EEE"/>
    <w:rsid w:val="00BB2F0A"/>
    <w:rsid w:val="00BB4DF1"/>
    <w:rsid w:val="00BB7851"/>
    <w:rsid w:val="00BC178D"/>
    <w:rsid w:val="00BC2488"/>
    <w:rsid w:val="00BC287D"/>
    <w:rsid w:val="00BC3128"/>
    <w:rsid w:val="00BC3885"/>
    <w:rsid w:val="00BC65E7"/>
    <w:rsid w:val="00BC7438"/>
    <w:rsid w:val="00BD0284"/>
    <w:rsid w:val="00BD1A85"/>
    <w:rsid w:val="00BD3657"/>
    <w:rsid w:val="00BD3E91"/>
    <w:rsid w:val="00BD4616"/>
    <w:rsid w:val="00BD5CE8"/>
    <w:rsid w:val="00BD6160"/>
    <w:rsid w:val="00BD6C07"/>
    <w:rsid w:val="00BD74D1"/>
    <w:rsid w:val="00BE02D1"/>
    <w:rsid w:val="00BE0448"/>
    <w:rsid w:val="00BE08E8"/>
    <w:rsid w:val="00BE2690"/>
    <w:rsid w:val="00BE26A2"/>
    <w:rsid w:val="00BE2A39"/>
    <w:rsid w:val="00BE3427"/>
    <w:rsid w:val="00BE3FC7"/>
    <w:rsid w:val="00BE58E1"/>
    <w:rsid w:val="00BE5A7D"/>
    <w:rsid w:val="00BF32A3"/>
    <w:rsid w:val="00BF3635"/>
    <w:rsid w:val="00BF4F0D"/>
    <w:rsid w:val="00BF5EFF"/>
    <w:rsid w:val="00BF60B1"/>
    <w:rsid w:val="00BF7AA4"/>
    <w:rsid w:val="00C015C4"/>
    <w:rsid w:val="00C03B16"/>
    <w:rsid w:val="00C106C3"/>
    <w:rsid w:val="00C10FDF"/>
    <w:rsid w:val="00C1201D"/>
    <w:rsid w:val="00C12E77"/>
    <w:rsid w:val="00C13D02"/>
    <w:rsid w:val="00C13D14"/>
    <w:rsid w:val="00C15317"/>
    <w:rsid w:val="00C1572F"/>
    <w:rsid w:val="00C1595A"/>
    <w:rsid w:val="00C15BDE"/>
    <w:rsid w:val="00C1623E"/>
    <w:rsid w:val="00C17614"/>
    <w:rsid w:val="00C178E0"/>
    <w:rsid w:val="00C17962"/>
    <w:rsid w:val="00C17FF4"/>
    <w:rsid w:val="00C21DAB"/>
    <w:rsid w:val="00C21FF0"/>
    <w:rsid w:val="00C22132"/>
    <w:rsid w:val="00C24786"/>
    <w:rsid w:val="00C24A40"/>
    <w:rsid w:val="00C257A8"/>
    <w:rsid w:val="00C25BE1"/>
    <w:rsid w:val="00C266F1"/>
    <w:rsid w:val="00C3062C"/>
    <w:rsid w:val="00C325E5"/>
    <w:rsid w:val="00C3369C"/>
    <w:rsid w:val="00C33CCB"/>
    <w:rsid w:val="00C35BA8"/>
    <w:rsid w:val="00C360EE"/>
    <w:rsid w:val="00C40BD2"/>
    <w:rsid w:val="00C42CA4"/>
    <w:rsid w:val="00C43121"/>
    <w:rsid w:val="00C448F3"/>
    <w:rsid w:val="00C46B31"/>
    <w:rsid w:val="00C51663"/>
    <w:rsid w:val="00C52C40"/>
    <w:rsid w:val="00C53418"/>
    <w:rsid w:val="00C5417D"/>
    <w:rsid w:val="00C54560"/>
    <w:rsid w:val="00C56135"/>
    <w:rsid w:val="00C563E8"/>
    <w:rsid w:val="00C607D3"/>
    <w:rsid w:val="00C60D5C"/>
    <w:rsid w:val="00C616B0"/>
    <w:rsid w:val="00C61B9B"/>
    <w:rsid w:val="00C61CB6"/>
    <w:rsid w:val="00C627F5"/>
    <w:rsid w:val="00C63184"/>
    <w:rsid w:val="00C644F2"/>
    <w:rsid w:val="00C71F21"/>
    <w:rsid w:val="00C723F8"/>
    <w:rsid w:val="00C73390"/>
    <w:rsid w:val="00C76B96"/>
    <w:rsid w:val="00C76CE4"/>
    <w:rsid w:val="00C77BD5"/>
    <w:rsid w:val="00C80035"/>
    <w:rsid w:val="00C8123F"/>
    <w:rsid w:val="00C8134E"/>
    <w:rsid w:val="00C82AF9"/>
    <w:rsid w:val="00C82D34"/>
    <w:rsid w:val="00C830F5"/>
    <w:rsid w:val="00C85747"/>
    <w:rsid w:val="00C87A4A"/>
    <w:rsid w:val="00C903D8"/>
    <w:rsid w:val="00C91317"/>
    <w:rsid w:val="00C91E6C"/>
    <w:rsid w:val="00C93DF1"/>
    <w:rsid w:val="00C953B6"/>
    <w:rsid w:val="00C95748"/>
    <w:rsid w:val="00C95C8D"/>
    <w:rsid w:val="00C96EC7"/>
    <w:rsid w:val="00CA0015"/>
    <w:rsid w:val="00CA019A"/>
    <w:rsid w:val="00CA107A"/>
    <w:rsid w:val="00CA1308"/>
    <w:rsid w:val="00CA3D8E"/>
    <w:rsid w:val="00CA4FFB"/>
    <w:rsid w:val="00CA5707"/>
    <w:rsid w:val="00CA62A6"/>
    <w:rsid w:val="00CA6ACE"/>
    <w:rsid w:val="00CB2F38"/>
    <w:rsid w:val="00CB3014"/>
    <w:rsid w:val="00CB3E41"/>
    <w:rsid w:val="00CB4272"/>
    <w:rsid w:val="00CB4AD2"/>
    <w:rsid w:val="00CB50FC"/>
    <w:rsid w:val="00CB5B07"/>
    <w:rsid w:val="00CB6613"/>
    <w:rsid w:val="00CC08C4"/>
    <w:rsid w:val="00CC0DFE"/>
    <w:rsid w:val="00CC1DB4"/>
    <w:rsid w:val="00CC2006"/>
    <w:rsid w:val="00CC4289"/>
    <w:rsid w:val="00CC4C57"/>
    <w:rsid w:val="00CC5F1F"/>
    <w:rsid w:val="00CC693B"/>
    <w:rsid w:val="00CC78B7"/>
    <w:rsid w:val="00CC78F8"/>
    <w:rsid w:val="00CD0B4C"/>
    <w:rsid w:val="00CD2BA1"/>
    <w:rsid w:val="00CD4A95"/>
    <w:rsid w:val="00CD60FE"/>
    <w:rsid w:val="00CD6D6D"/>
    <w:rsid w:val="00CD70B3"/>
    <w:rsid w:val="00CE19FB"/>
    <w:rsid w:val="00CE1CCD"/>
    <w:rsid w:val="00CE1D5C"/>
    <w:rsid w:val="00CE5984"/>
    <w:rsid w:val="00CE61DD"/>
    <w:rsid w:val="00CE634F"/>
    <w:rsid w:val="00CF2123"/>
    <w:rsid w:val="00CF38D9"/>
    <w:rsid w:val="00CF38F2"/>
    <w:rsid w:val="00CF41E2"/>
    <w:rsid w:val="00CF4429"/>
    <w:rsid w:val="00D01B2F"/>
    <w:rsid w:val="00D02104"/>
    <w:rsid w:val="00D02C5D"/>
    <w:rsid w:val="00D044CF"/>
    <w:rsid w:val="00D04801"/>
    <w:rsid w:val="00D0617A"/>
    <w:rsid w:val="00D09330"/>
    <w:rsid w:val="00D10A32"/>
    <w:rsid w:val="00D11CEF"/>
    <w:rsid w:val="00D139E4"/>
    <w:rsid w:val="00D14686"/>
    <w:rsid w:val="00D15526"/>
    <w:rsid w:val="00D211D6"/>
    <w:rsid w:val="00D224DC"/>
    <w:rsid w:val="00D24A14"/>
    <w:rsid w:val="00D25D8D"/>
    <w:rsid w:val="00D31C03"/>
    <w:rsid w:val="00D33195"/>
    <w:rsid w:val="00D3429F"/>
    <w:rsid w:val="00D348C1"/>
    <w:rsid w:val="00D34C03"/>
    <w:rsid w:val="00D35B1B"/>
    <w:rsid w:val="00D363CB"/>
    <w:rsid w:val="00D401BE"/>
    <w:rsid w:val="00D40F73"/>
    <w:rsid w:val="00D423AE"/>
    <w:rsid w:val="00D438D1"/>
    <w:rsid w:val="00D523F8"/>
    <w:rsid w:val="00D542F0"/>
    <w:rsid w:val="00D551CE"/>
    <w:rsid w:val="00D56437"/>
    <w:rsid w:val="00D6057A"/>
    <w:rsid w:val="00D62D18"/>
    <w:rsid w:val="00D62F55"/>
    <w:rsid w:val="00D63D4C"/>
    <w:rsid w:val="00D6709E"/>
    <w:rsid w:val="00D678CE"/>
    <w:rsid w:val="00D67D0C"/>
    <w:rsid w:val="00D71492"/>
    <w:rsid w:val="00D716A2"/>
    <w:rsid w:val="00D72588"/>
    <w:rsid w:val="00D7312B"/>
    <w:rsid w:val="00D7373D"/>
    <w:rsid w:val="00D75B6C"/>
    <w:rsid w:val="00D75E82"/>
    <w:rsid w:val="00D767D6"/>
    <w:rsid w:val="00D7774A"/>
    <w:rsid w:val="00D81FAA"/>
    <w:rsid w:val="00D824D3"/>
    <w:rsid w:val="00D82F16"/>
    <w:rsid w:val="00D832D8"/>
    <w:rsid w:val="00D84B6C"/>
    <w:rsid w:val="00D853F8"/>
    <w:rsid w:val="00D872E5"/>
    <w:rsid w:val="00D90189"/>
    <w:rsid w:val="00D90B43"/>
    <w:rsid w:val="00D9155A"/>
    <w:rsid w:val="00D91654"/>
    <w:rsid w:val="00D93C7B"/>
    <w:rsid w:val="00D94A5D"/>
    <w:rsid w:val="00D95260"/>
    <w:rsid w:val="00D95344"/>
    <w:rsid w:val="00D972C9"/>
    <w:rsid w:val="00DA07A6"/>
    <w:rsid w:val="00DA0B39"/>
    <w:rsid w:val="00DA1D27"/>
    <w:rsid w:val="00DA274B"/>
    <w:rsid w:val="00DA2958"/>
    <w:rsid w:val="00DA38E9"/>
    <w:rsid w:val="00DA4737"/>
    <w:rsid w:val="00DA5A9C"/>
    <w:rsid w:val="00DA5C25"/>
    <w:rsid w:val="00DA613D"/>
    <w:rsid w:val="00DA786F"/>
    <w:rsid w:val="00DA7B06"/>
    <w:rsid w:val="00DA7CB4"/>
    <w:rsid w:val="00DB080E"/>
    <w:rsid w:val="00DB16BD"/>
    <w:rsid w:val="00DB52D4"/>
    <w:rsid w:val="00DB6E4B"/>
    <w:rsid w:val="00DC0132"/>
    <w:rsid w:val="00DC09D2"/>
    <w:rsid w:val="00DC184B"/>
    <w:rsid w:val="00DC23D8"/>
    <w:rsid w:val="00DC4E8A"/>
    <w:rsid w:val="00DC4F88"/>
    <w:rsid w:val="00DC5C5D"/>
    <w:rsid w:val="00DC5EDB"/>
    <w:rsid w:val="00DC679F"/>
    <w:rsid w:val="00DC696E"/>
    <w:rsid w:val="00DC730B"/>
    <w:rsid w:val="00DD0601"/>
    <w:rsid w:val="00DD1E3C"/>
    <w:rsid w:val="00DD4924"/>
    <w:rsid w:val="00DD4CA1"/>
    <w:rsid w:val="00DD4F16"/>
    <w:rsid w:val="00DD5023"/>
    <w:rsid w:val="00DD52C8"/>
    <w:rsid w:val="00DD74B2"/>
    <w:rsid w:val="00DD7A3B"/>
    <w:rsid w:val="00DE027A"/>
    <w:rsid w:val="00DE029E"/>
    <w:rsid w:val="00DE0F04"/>
    <w:rsid w:val="00DE28CB"/>
    <w:rsid w:val="00DE2F75"/>
    <w:rsid w:val="00DE39AF"/>
    <w:rsid w:val="00DE45A3"/>
    <w:rsid w:val="00DE495C"/>
    <w:rsid w:val="00DE49C2"/>
    <w:rsid w:val="00DE6AD2"/>
    <w:rsid w:val="00DE7CD9"/>
    <w:rsid w:val="00DF0269"/>
    <w:rsid w:val="00DF103B"/>
    <w:rsid w:val="00DF1E83"/>
    <w:rsid w:val="00DF2627"/>
    <w:rsid w:val="00DF3437"/>
    <w:rsid w:val="00DF41E8"/>
    <w:rsid w:val="00DF5407"/>
    <w:rsid w:val="00DF5711"/>
    <w:rsid w:val="00DF5C0E"/>
    <w:rsid w:val="00DF5E0C"/>
    <w:rsid w:val="00DF783A"/>
    <w:rsid w:val="00E0048D"/>
    <w:rsid w:val="00E00C61"/>
    <w:rsid w:val="00E01122"/>
    <w:rsid w:val="00E01129"/>
    <w:rsid w:val="00E01151"/>
    <w:rsid w:val="00E014FF"/>
    <w:rsid w:val="00E016AD"/>
    <w:rsid w:val="00E01981"/>
    <w:rsid w:val="00E031D0"/>
    <w:rsid w:val="00E0470E"/>
    <w:rsid w:val="00E05616"/>
    <w:rsid w:val="00E07A52"/>
    <w:rsid w:val="00E117CD"/>
    <w:rsid w:val="00E133E1"/>
    <w:rsid w:val="00E153C4"/>
    <w:rsid w:val="00E16127"/>
    <w:rsid w:val="00E16867"/>
    <w:rsid w:val="00E2176B"/>
    <w:rsid w:val="00E25C5F"/>
    <w:rsid w:val="00E271B1"/>
    <w:rsid w:val="00E30ED9"/>
    <w:rsid w:val="00E328F7"/>
    <w:rsid w:val="00E34181"/>
    <w:rsid w:val="00E34B1A"/>
    <w:rsid w:val="00E35901"/>
    <w:rsid w:val="00E3664A"/>
    <w:rsid w:val="00E377DA"/>
    <w:rsid w:val="00E37B38"/>
    <w:rsid w:val="00E42705"/>
    <w:rsid w:val="00E43C12"/>
    <w:rsid w:val="00E44C79"/>
    <w:rsid w:val="00E450FB"/>
    <w:rsid w:val="00E459E8"/>
    <w:rsid w:val="00E46C20"/>
    <w:rsid w:val="00E5086D"/>
    <w:rsid w:val="00E52CE2"/>
    <w:rsid w:val="00E536C4"/>
    <w:rsid w:val="00E54787"/>
    <w:rsid w:val="00E55CA9"/>
    <w:rsid w:val="00E55DA2"/>
    <w:rsid w:val="00E56B82"/>
    <w:rsid w:val="00E600E2"/>
    <w:rsid w:val="00E612B9"/>
    <w:rsid w:val="00E6182F"/>
    <w:rsid w:val="00E618EB"/>
    <w:rsid w:val="00E63207"/>
    <w:rsid w:val="00E64B8D"/>
    <w:rsid w:val="00E65464"/>
    <w:rsid w:val="00E708CA"/>
    <w:rsid w:val="00E71803"/>
    <w:rsid w:val="00E72821"/>
    <w:rsid w:val="00E73478"/>
    <w:rsid w:val="00E73DBB"/>
    <w:rsid w:val="00E7497B"/>
    <w:rsid w:val="00E751D5"/>
    <w:rsid w:val="00E75D7C"/>
    <w:rsid w:val="00E776A9"/>
    <w:rsid w:val="00E8059E"/>
    <w:rsid w:val="00E8068B"/>
    <w:rsid w:val="00E81654"/>
    <w:rsid w:val="00E82112"/>
    <w:rsid w:val="00E8237F"/>
    <w:rsid w:val="00E84AF0"/>
    <w:rsid w:val="00E86067"/>
    <w:rsid w:val="00E877B1"/>
    <w:rsid w:val="00E90755"/>
    <w:rsid w:val="00E90D9A"/>
    <w:rsid w:val="00E929A1"/>
    <w:rsid w:val="00E9358A"/>
    <w:rsid w:val="00E9419B"/>
    <w:rsid w:val="00E942D5"/>
    <w:rsid w:val="00E94906"/>
    <w:rsid w:val="00E95F3A"/>
    <w:rsid w:val="00E97348"/>
    <w:rsid w:val="00E977E6"/>
    <w:rsid w:val="00EA0F37"/>
    <w:rsid w:val="00EA3ADC"/>
    <w:rsid w:val="00EA44FA"/>
    <w:rsid w:val="00EA460A"/>
    <w:rsid w:val="00EA49FE"/>
    <w:rsid w:val="00EA520A"/>
    <w:rsid w:val="00EA5C36"/>
    <w:rsid w:val="00EA5D41"/>
    <w:rsid w:val="00EA6E07"/>
    <w:rsid w:val="00EA72FE"/>
    <w:rsid w:val="00EB00E7"/>
    <w:rsid w:val="00EB0F2C"/>
    <w:rsid w:val="00EB12FD"/>
    <w:rsid w:val="00EB1AD4"/>
    <w:rsid w:val="00EB1C20"/>
    <w:rsid w:val="00EB244B"/>
    <w:rsid w:val="00EB2B60"/>
    <w:rsid w:val="00EB5114"/>
    <w:rsid w:val="00EB6175"/>
    <w:rsid w:val="00EB65CB"/>
    <w:rsid w:val="00EC22F2"/>
    <w:rsid w:val="00EC29FD"/>
    <w:rsid w:val="00EC2D91"/>
    <w:rsid w:val="00EC6B24"/>
    <w:rsid w:val="00EC7264"/>
    <w:rsid w:val="00EC788E"/>
    <w:rsid w:val="00ED0673"/>
    <w:rsid w:val="00ED09C9"/>
    <w:rsid w:val="00ED102D"/>
    <w:rsid w:val="00ED19B7"/>
    <w:rsid w:val="00ED1DF3"/>
    <w:rsid w:val="00ED405E"/>
    <w:rsid w:val="00ED49A3"/>
    <w:rsid w:val="00ED4D72"/>
    <w:rsid w:val="00ED5DB5"/>
    <w:rsid w:val="00ED7435"/>
    <w:rsid w:val="00EE04EC"/>
    <w:rsid w:val="00EE118A"/>
    <w:rsid w:val="00EE1503"/>
    <w:rsid w:val="00EE294E"/>
    <w:rsid w:val="00EE467A"/>
    <w:rsid w:val="00EF1750"/>
    <w:rsid w:val="00EF1CFF"/>
    <w:rsid w:val="00EF1D3B"/>
    <w:rsid w:val="00EF3F63"/>
    <w:rsid w:val="00EF6BBC"/>
    <w:rsid w:val="00EF6E2D"/>
    <w:rsid w:val="00EF7A6C"/>
    <w:rsid w:val="00F00AA6"/>
    <w:rsid w:val="00F01DDC"/>
    <w:rsid w:val="00F01E4C"/>
    <w:rsid w:val="00F04EE8"/>
    <w:rsid w:val="00F058C2"/>
    <w:rsid w:val="00F07FA7"/>
    <w:rsid w:val="00F13CFD"/>
    <w:rsid w:val="00F15A40"/>
    <w:rsid w:val="00F15B12"/>
    <w:rsid w:val="00F162D5"/>
    <w:rsid w:val="00F16CAE"/>
    <w:rsid w:val="00F16F75"/>
    <w:rsid w:val="00F17DC8"/>
    <w:rsid w:val="00F17F51"/>
    <w:rsid w:val="00F205D5"/>
    <w:rsid w:val="00F214E1"/>
    <w:rsid w:val="00F21D95"/>
    <w:rsid w:val="00F22ACB"/>
    <w:rsid w:val="00F24035"/>
    <w:rsid w:val="00F24F6B"/>
    <w:rsid w:val="00F25A17"/>
    <w:rsid w:val="00F25B57"/>
    <w:rsid w:val="00F27DE0"/>
    <w:rsid w:val="00F32AC0"/>
    <w:rsid w:val="00F32DE8"/>
    <w:rsid w:val="00F33395"/>
    <w:rsid w:val="00F35B68"/>
    <w:rsid w:val="00F36677"/>
    <w:rsid w:val="00F37C0B"/>
    <w:rsid w:val="00F41023"/>
    <w:rsid w:val="00F41D65"/>
    <w:rsid w:val="00F41E55"/>
    <w:rsid w:val="00F4300A"/>
    <w:rsid w:val="00F43085"/>
    <w:rsid w:val="00F44E05"/>
    <w:rsid w:val="00F453D7"/>
    <w:rsid w:val="00F4632A"/>
    <w:rsid w:val="00F47A88"/>
    <w:rsid w:val="00F47BB9"/>
    <w:rsid w:val="00F50260"/>
    <w:rsid w:val="00F53244"/>
    <w:rsid w:val="00F532AD"/>
    <w:rsid w:val="00F53EB8"/>
    <w:rsid w:val="00F545BB"/>
    <w:rsid w:val="00F546D0"/>
    <w:rsid w:val="00F5588A"/>
    <w:rsid w:val="00F55C4F"/>
    <w:rsid w:val="00F56DDF"/>
    <w:rsid w:val="00F61C20"/>
    <w:rsid w:val="00F62517"/>
    <w:rsid w:val="00F62616"/>
    <w:rsid w:val="00F62702"/>
    <w:rsid w:val="00F63057"/>
    <w:rsid w:val="00F631A9"/>
    <w:rsid w:val="00F63C8D"/>
    <w:rsid w:val="00F6444C"/>
    <w:rsid w:val="00F64527"/>
    <w:rsid w:val="00F65513"/>
    <w:rsid w:val="00F65720"/>
    <w:rsid w:val="00F66901"/>
    <w:rsid w:val="00F67098"/>
    <w:rsid w:val="00F736CC"/>
    <w:rsid w:val="00F7498E"/>
    <w:rsid w:val="00F750D4"/>
    <w:rsid w:val="00F754F5"/>
    <w:rsid w:val="00F762D0"/>
    <w:rsid w:val="00F80FD2"/>
    <w:rsid w:val="00F813CC"/>
    <w:rsid w:val="00F82E0C"/>
    <w:rsid w:val="00F83296"/>
    <w:rsid w:val="00F84D5E"/>
    <w:rsid w:val="00F84F84"/>
    <w:rsid w:val="00F868DB"/>
    <w:rsid w:val="00F9241F"/>
    <w:rsid w:val="00F92FF1"/>
    <w:rsid w:val="00F93247"/>
    <w:rsid w:val="00F93C1D"/>
    <w:rsid w:val="00F94E8B"/>
    <w:rsid w:val="00F964A2"/>
    <w:rsid w:val="00F974B0"/>
    <w:rsid w:val="00F97DF3"/>
    <w:rsid w:val="00FA11F7"/>
    <w:rsid w:val="00FA1E9A"/>
    <w:rsid w:val="00FA34DA"/>
    <w:rsid w:val="00FA51E7"/>
    <w:rsid w:val="00FA66CF"/>
    <w:rsid w:val="00FB0CA6"/>
    <w:rsid w:val="00FB1C45"/>
    <w:rsid w:val="00FB1C93"/>
    <w:rsid w:val="00FB1F4B"/>
    <w:rsid w:val="00FB2264"/>
    <w:rsid w:val="00FB3502"/>
    <w:rsid w:val="00FB3652"/>
    <w:rsid w:val="00FB492B"/>
    <w:rsid w:val="00FB5D64"/>
    <w:rsid w:val="00FB7242"/>
    <w:rsid w:val="00FC0023"/>
    <w:rsid w:val="00FC0159"/>
    <w:rsid w:val="00FC04F7"/>
    <w:rsid w:val="00FC24F8"/>
    <w:rsid w:val="00FC5148"/>
    <w:rsid w:val="00FC5BD2"/>
    <w:rsid w:val="00FC5C9F"/>
    <w:rsid w:val="00FD04FD"/>
    <w:rsid w:val="00FD0CF1"/>
    <w:rsid w:val="00FD1018"/>
    <w:rsid w:val="00FD1B1E"/>
    <w:rsid w:val="00FD2F69"/>
    <w:rsid w:val="00FD33B8"/>
    <w:rsid w:val="00FD433E"/>
    <w:rsid w:val="00FD475C"/>
    <w:rsid w:val="00FD5C51"/>
    <w:rsid w:val="00FE06C3"/>
    <w:rsid w:val="00FE32EA"/>
    <w:rsid w:val="00FE3782"/>
    <w:rsid w:val="00FE5518"/>
    <w:rsid w:val="00FE6223"/>
    <w:rsid w:val="00FE6B7C"/>
    <w:rsid w:val="00FE70D8"/>
    <w:rsid w:val="00FF207D"/>
    <w:rsid w:val="00FF3D75"/>
    <w:rsid w:val="00FF45BC"/>
    <w:rsid w:val="00FF4DAE"/>
    <w:rsid w:val="00FF63F0"/>
    <w:rsid w:val="00FF649D"/>
    <w:rsid w:val="00FF7441"/>
    <w:rsid w:val="01060135"/>
    <w:rsid w:val="011B5299"/>
    <w:rsid w:val="012AF404"/>
    <w:rsid w:val="0133EA51"/>
    <w:rsid w:val="0135365C"/>
    <w:rsid w:val="0140B740"/>
    <w:rsid w:val="016B3EC9"/>
    <w:rsid w:val="0195369C"/>
    <w:rsid w:val="01F4DC2D"/>
    <w:rsid w:val="01F70113"/>
    <w:rsid w:val="0212D113"/>
    <w:rsid w:val="024CB114"/>
    <w:rsid w:val="025C46E2"/>
    <w:rsid w:val="0282B62E"/>
    <w:rsid w:val="0293FF52"/>
    <w:rsid w:val="029958C3"/>
    <w:rsid w:val="02DCAB63"/>
    <w:rsid w:val="030F82E1"/>
    <w:rsid w:val="0348F763"/>
    <w:rsid w:val="035A0E4B"/>
    <w:rsid w:val="039BA832"/>
    <w:rsid w:val="03D449E1"/>
    <w:rsid w:val="0411233E"/>
    <w:rsid w:val="0420E3DD"/>
    <w:rsid w:val="043979C2"/>
    <w:rsid w:val="04543C84"/>
    <w:rsid w:val="04F35D48"/>
    <w:rsid w:val="0525BD8A"/>
    <w:rsid w:val="05447F1D"/>
    <w:rsid w:val="05464FB0"/>
    <w:rsid w:val="05793D6F"/>
    <w:rsid w:val="057A0B83"/>
    <w:rsid w:val="05937500"/>
    <w:rsid w:val="05A12F55"/>
    <w:rsid w:val="05B3E525"/>
    <w:rsid w:val="05BAE2C1"/>
    <w:rsid w:val="060B0B7D"/>
    <w:rsid w:val="06160B81"/>
    <w:rsid w:val="06F40A5B"/>
    <w:rsid w:val="06FB20C2"/>
    <w:rsid w:val="07307AF2"/>
    <w:rsid w:val="075F2446"/>
    <w:rsid w:val="0789976F"/>
    <w:rsid w:val="07AE08D9"/>
    <w:rsid w:val="07D09798"/>
    <w:rsid w:val="07DD8F85"/>
    <w:rsid w:val="081898FF"/>
    <w:rsid w:val="0827FADF"/>
    <w:rsid w:val="0843D5BF"/>
    <w:rsid w:val="08475B92"/>
    <w:rsid w:val="084775E0"/>
    <w:rsid w:val="084A4349"/>
    <w:rsid w:val="08588EB8"/>
    <w:rsid w:val="08AECEFD"/>
    <w:rsid w:val="08F9A3E5"/>
    <w:rsid w:val="09571ABB"/>
    <w:rsid w:val="0967C0D2"/>
    <w:rsid w:val="096D836B"/>
    <w:rsid w:val="096F42A7"/>
    <w:rsid w:val="099134C1"/>
    <w:rsid w:val="09D545C9"/>
    <w:rsid w:val="09E16301"/>
    <w:rsid w:val="09F3DFDF"/>
    <w:rsid w:val="0A17B5DD"/>
    <w:rsid w:val="0A32D3B6"/>
    <w:rsid w:val="0A3B25B9"/>
    <w:rsid w:val="0A47B67B"/>
    <w:rsid w:val="0A66D9B6"/>
    <w:rsid w:val="0A8C7A59"/>
    <w:rsid w:val="0A9091C1"/>
    <w:rsid w:val="0AB2DD18"/>
    <w:rsid w:val="0B02C2F9"/>
    <w:rsid w:val="0B29ED0C"/>
    <w:rsid w:val="0B37C738"/>
    <w:rsid w:val="0B3D37B7"/>
    <w:rsid w:val="0B969D3F"/>
    <w:rsid w:val="0BAA13ED"/>
    <w:rsid w:val="0BEA8A3F"/>
    <w:rsid w:val="0C1474AE"/>
    <w:rsid w:val="0C1EBAF6"/>
    <w:rsid w:val="0C22821D"/>
    <w:rsid w:val="0CACB979"/>
    <w:rsid w:val="0CAE2AA9"/>
    <w:rsid w:val="0CB9CCDA"/>
    <w:rsid w:val="0CF917FD"/>
    <w:rsid w:val="0D8405E0"/>
    <w:rsid w:val="0D8638B2"/>
    <w:rsid w:val="0D934F29"/>
    <w:rsid w:val="0D9B30E1"/>
    <w:rsid w:val="0DDDC019"/>
    <w:rsid w:val="0DE5D687"/>
    <w:rsid w:val="0E69F26F"/>
    <w:rsid w:val="0E7EF7FB"/>
    <w:rsid w:val="0E993799"/>
    <w:rsid w:val="0EDB09D5"/>
    <w:rsid w:val="0EE90FF0"/>
    <w:rsid w:val="0F4993C7"/>
    <w:rsid w:val="0FAD22C3"/>
    <w:rsid w:val="0FDB85A8"/>
    <w:rsid w:val="0FE2F8F6"/>
    <w:rsid w:val="10040D48"/>
    <w:rsid w:val="100E0D63"/>
    <w:rsid w:val="10160A30"/>
    <w:rsid w:val="1021DB7C"/>
    <w:rsid w:val="1024DB1A"/>
    <w:rsid w:val="1093EB4D"/>
    <w:rsid w:val="1099286A"/>
    <w:rsid w:val="10A5102F"/>
    <w:rsid w:val="10ED829A"/>
    <w:rsid w:val="10EEF27D"/>
    <w:rsid w:val="11037174"/>
    <w:rsid w:val="112E9E51"/>
    <w:rsid w:val="113EB5D0"/>
    <w:rsid w:val="11C40374"/>
    <w:rsid w:val="11F0DC6D"/>
    <w:rsid w:val="1204FC82"/>
    <w:rsid w:val="121D0626"/>
    <w:rsid w:val="1227297E"/>
    <w:rsid w:val="12495681"/>
    <w:rsid w:val="125809A6"/>
    <w:rsid w:val="126C2856"/>
    <w:rsid w:val="12F7C933"/>
    <w:rsid w:val="1349C597"/>
    <w:rsid w:val="139A6AC6"/>
    <w:rsid w:val="13F34CE7"/>
    <w:rsid w:val="1414587B"/>
    <w:rsid w:val="1482391D"/>
    <w:rsid w:val="1482AC0C"/>
    <w:rsid w:val="14B42848"/>
    <w:rsid w:val="14E22F13"/>
    <w:rsid w:val="14EAAC8F"/>
    <w:rsid w:val="15A54618"/>
    <w:rsid w:val="1628FF2B"/>
    <w:rsid w:val="163907CD"/>
    <w:rsid w:val="166781E2"/>
    <w:rsid w:val="16726CF5"/>
    <w:rsid w:val="167FCE97"/>
    <w:rsid w:val="16812298"/>
    <w:rsid w:val="16A3E5FB"/>
    <w:rsid w:val="16D48792"/>
    <w:rsid w:val="171FF336"/>
    <w:rsid w:val="1746F822"/>
    <w:rsid w:val="174A8FD9"/>
    <w:rsid w:val="174FCFAD"/>
    <w:rsid w:val="17BA9C0C"/>
    <w:rsid w:val="180E6078"/>
    <w:rsid w:val="1842CB10"/>
    <w:rsid w:val="18A8800D"/>
    <w:rsid w:val="18ABC0DD"/>
    <w:rsid w:val="18BCC017"/>
    <w:rsid w:val="1939E576"/>
    <w:rsid w:val="1947575B"/>
    <w:rsid w:val="19497B2D"/>
    <w:rsid w:val="19982AF8"/>
    <w:rsid w:val="19ACA2F0"/>
    <w:rsid w:val="19DECC1D"/>
    <w:rsid w:val="1A054683"/>
    <w:rsid w:val="1A5D37D1"/>
    <w:rsid w:val="1A635D31"/>
    <w:rsid w:val="1A931425"/>
    <w:rsid w:val="1A95775A"/>
    <w:rsid w:val="1AB602EB"/>
    <w:rsid w:val="1AC5D105"/>
    <w:rsid w:val="1AD5FD00"/>
    <w:rsid w:val="1AFF7ECF"/>
    <w:rsid w:val="1B5AA1F2"/>
    <w:rsid w:val="1BB8DC57"/>
    <w:rsid w:val="1C2A28F3"/>
    <w:rsid w:val="1C758CC5"/>
    <w:rsid w:val="1D2811E0"/>
    <w:rsid w:val="1D387FB4"/>
    <w:rsid w:val="1D617237"/>
    <w:rsid w:val="1D6B1CE9"/>
    <w:rsid w:val="1D77B728"/>
    <w:rsid w:val="1D944439"/>
    <w:rsid w:val="1D9A5016"/>
    <w:rsid w:val="1DE7A2C6"/>
    <w:rsid w:val="1DFC498E"/>
    <w:rsid w:val="1E7A8181"/>
    <w:rsid w:val="1E8891A7"/>
    <w:rsid w:val="1E8EA3EE"/>
    <w:rsid w:val="1E93AFB9"/>
    <w:rsid w:val="1EE6E303"/>
    <w:rsid w:val="1F47E351"/>
    <w:rsid w:val="1F4B59DF"/>
    <w:rsid w:val="1F6A99E6"/>
    <w:rsid w:val="1FB97236"/>
    <w:rsid w:val="1FE12B01"/>
    <w:rsid w:val="2036149F"/>
    <w:rsid w:val="204CF379"/>
    <w:rsid w:val="205061F9"/>
    <w:rsid w:val="20811ACD"/>
    <w:rsid w:val="209FF80E"/>
    <w:rsid w:val="20A96003"/>
    <w:rsid w:val="2115ED4F"/>
    <w:rsid w:val="2128BE07"/>
    <w:rsid w:val="2134D9DD"/>
    <w:rsid w:val="21381A54"/>
    <w:rsid w:val="21436E93"/>
    <w:rsid w:val="218391F9"/>
    <w:rsid w:val="21995CF9"/>
    <w:rsid w:val="2199C91A"/>
    <w:rsid w:val="21BBB340"/>
    <w:rsid w:val="21CFB67B"/>
    <w:rsid w:val="21E5263A"/>
    <w:rsid w:val="21FBCE88"/>
    <w:rsid w:val="2228A87F"/>
    <w:rsid w:val="2243F92F"/>
    <w:rsid w:val="22B0F75A"/>
    <w:rsid w:val="22C14B3F"/>
    <w:rsid w:val="22ED7C20"/>
    <w:rsid w:val="238C0134"/>
    <w:rsid w:val="23AD04CA"/>
    <w:rsid w:val="23D9C346"/>
    <w:rsid w:val="23E046FA"/>
    <w:rsid w:val="2413B46B"/>
    <w:rsid w:val="2423A093"/>
    <w:rsid w:val="244CD2D2"/>
    <w:rsid w:val="249C649F"/>
    <w:rsid w:val="24CA2BD9"/>
    <w:rsid w:val="24D49764"/>
    <w:rsid w:val="25198875"/>
    <w:rsid w:val="2584F601"/>
    <w:rsid w:val="25960F1D"/>
    <w:rsid w:val="25B471B8"/>
    <w:rsid w:val="25F62332"/>
    <w:rsid w:val="262954B1"/>
    <w:rsid w:val="2636F803"/>
    <w:rsid w:val="2675DEFF"/>
    <w:rsid w:val="2681C274"/>
    <w:rsid w:val="26A62984"/>
    <w:rsid w:val="26CA6AC6"/>
    <w:rsid w:val="273AA1BC"/>
    <w:rsid w:val="2802FA39"/>
    <w:rsid w:val="280A1F45"/>
    <w:rsid w:val="2837BE11"/>
    <w:rsid w:val="283C1D22"/>
    <w:rsid w:val="286196E7"/>
    <w:rsid w:val="28757AC6"/>
    <w:rsid w:val="28833203"/>
    <w:rsid w:val="2901B3C6"/>
    <w:rsid w:val="2921720A"/>
    <w:rsid w:val="292BD108"/>
    <w:rsid w:val="29977BF0"/>
    <w:rsid w:val="29D53E23"/>
    <w:rsid w:val="29DA00FD"/>
    <w:rsid w:val="29E2DE89"/>
    <w:rsid w:val="2A196A15"/>
    <w:rsid w:val="2A8CDD43"/>
    <w:rsid w:val="2AA56E0F"/>
    <w:rsid w:val="2AC3AF85"/>
    <w:rsid w:val="2B021607"/>
    <w:rsid w:val="2BDD4D5C"/>
    <w:rsid w:val="2BFF5966"/>
    <w:rsid w:val="2C1F401B"/>
    <w:rsid w:val="2C282B7A"/>
    <w:rsid w:val="2C62C068"/>
    <w:rsid w:val="2C675DB9"/>
    <w:rsid w:val="2C9CCCBA"/>
    <w:rsid w:val="2CA60D0D"/>
    <w:rsid w:val="2D2A252F"/>
    <w:rsid w:val="2D3D9971"/>
    <w:rsid w:val="2DA6C5DE"/>
    <w:rsid w:val="2DBE8C84"/>
    <w:rsid w:val="2DEF4D4C"/>
    <w:rsid w:val="2DF529F2"/>
    <w:rsid w:val="2DF6292D"/>
    <w:rsid w:val="2E406582"/>
    <w:rsid w:val="2E56C887"/>
    <w:rsid w:val="2E6075A2"/>
    <w:rsid w:val="2EA9A011"/>
    <w:rsid w:val="2EDF8737"/>
    <w:rsid w:val="2EE03AD9"/>
    <w:rsid w:val="2F020EFE"/>
    <w:rsid w:val="2F308E4A"/>
    <w:rsid w:val="2F79EB58"/>
    <w:rsid w:val="2F95BCF9"/>
    <w:rsid w:val="2FAF226D"/>
    <w:rsid w:val="2FBFD685"/>
    <w:rsid w:val="2FCF1F63"/>
    <w:rsid w:val="2FF7A188"/>
    <w:rsid w:val="300E4E74"/>
    <w:rsid w:val="3014A9CD"/>
    <w:rsid w:val="301FB59F"/>
    <w:rsid w:val="3039D9F9"/>
    <w:rsid w:val="306A76E4"/>
    <w:rsid w:val="3075D679"/>
    <w:rsid w:val="30DDFEE3"/>
    <w:rsid w:val="30E6C141"/>
    <w:rsid w:val="312A0F9B"/>
    <w:rsid w:val="316D9143"/>
    <w:rsid w:val="31A647B1"/>
    <w:rsid w:val="31EDF615"/>
    <w:rsid w:val="31EE13A2"/>
    <w:rsid w:val="320083EE"/>
    <w:rsid w:val="3253CF7E"/>
    <w:rsid w:val="32D431FB"/>
    <w:rsid w:val="32EDAE70"/>
    <w:rsid w:val="332EE2EF"/>
    <w:rsid w:val="3339BBB0"/>
    <w:rsid w:val="337B327D"/>
    <w:rsid w:val="338205CB"/>
    <w:rsid w:val="33BD2AA8"/>
    <w:rsid w:val="3402CF2B"/>
    <w:rsid w:val="342D97E0"/>
    <w:rsid w:val="347A998F"/>
    <w:rsid w:val="347E5C07"/>
    <w:rsid w:val="34941628"/>
    <w:rsid w:val="34B051D6"/>
    <w:rsid w:val="34C5F90D"/>
    <w:rsid w:val="34CC78B0"/>
    <w:rsid w:val="34EBCA41"/>
    <w:rsid w:val="34F9BE81"/>
    <w:rsid w:val="35049529"/>
    <w:rsid w:val="35112F1B"/>
    <w:rsid w:val="351C41AB"/>
    <w:rsid w:val="351D9077"/>
    <w:rsid w:val="3532EA6D"/>
    <w:rsid w:val="35331F51"/>
    <w:rsid w:val="3563ADB7"/>
    <w:rsid w:val="35CDED86"/>
    <w:rsid w:val="35D067B2"/>
    <w:rsid w:val="36279E4C"/>
    <w:rsid w:val="36FD6124"/>
    <w:rsid w:val="3713530C"/>
    <w:rsid w:val="3716953B"/>
    <w:rsid w:val="373E0B3A"/>
    <w:rsid w:val="374C85AD"/>
    <w:rsid w:val="37661B9F"/>
    <w:rsid w:val="37730A4A"/>
    <w:rsid w:val="377CD8A4"/>
    <w:rsid w:val="3794EDF6"/>
    <w:rsid w:val="379708E1"/>
    <w:rsid w:val="379B714E"/>
    <w:rsid w:val="379E8D79"/>
    <w:rsid w:val="37E2FEDE"/>
    <w:rsid w:val="380B9257"/>
    <w:rsid w:val="38347D1B"/>
    <w:rsid w:val="383557BC"/>
    <w:rsid w:val="3839B734"/>
    <w:rsid w:val="38470767"/>
    <w:rsid w:val="38978AF4"/>
    <w:rsid w:val="393CE968"/>
    <w:rsid w:val="394408DD"/>
    <w:rsid w:val="39DCF2B1"/>
    <w:rsid w:val="39E0544D"/>
    <w:rsid w:val="39E492BC"/>
    <w:rsid w:val="39F4D82D"/>
    <w:rsid w:val="39F6D336"/>
    <w:rsid w:val="3A40598B"/>
    <w:rsid w:val="3A499692"/>
    <w:rsid w:val="3A728E1B"/>
    <w:rsid w:val="3AA6B471"/>
    <w:rsid w:val="3ABF9D32"/>
    <w:rsid w:val="3AE5C800"/>
    <w:rsid w:val="3B4F0747"/>
    <w:rsid w:val="3B657BAB"/>
    <w:rsid w:val="3B664559"/>
    <w:rsid w:val="3B88BE79"/>
    <w:rsid w:val="3B9C7667"/>
    <w:rsid w:val="3BD993EA"/>
    <w:rsid w:val="3BECC2A6"/>
    <w:rsid w:val="3C196441"/>
    <w:rsid w:val="3C3FF29F"/>
    <w:rsid w:val="3C42B6BA"/>
    <w:rsid w:val="3C65559E"/>
    <w:rsid w:val="3CBFA5A1"/>
    <w:rsid w:val="3CC09A58"/>
    <w:rsid w:val="3CDE4EC5"/>
    <w:rsid w:val="3CE30AEA"/>
    <w:rsid w:val="3D191053"/>
    <w:rsid w:val="3D3F8FBA"/>
    <w:rsid w:val="3D84DF49"/>
    <w:rsid w:val="3D92FCD6"/>
    <w:rsid w:val="3DD657A7"/>
    <w:rsid w:val="3DFFABD1"/>
    <w:rsid w:val="3E188FB0"/>
    <w:rsid w:val="3E1B2F3D"/>
    <w:rsid w:val="3E4742F2"/>
    <w:rsid w:val="3E4F855C"/>
    <w:rsid w:val="3E5552C9"/>
    <w:rsid w:val="3E71DC90"/>
    <w:rsid w:val="3E90EAA1"/>
    <w:rsid w:val="3EADBB6B"/>
    <w:rsid w:val="3F0ACB4A"/>
    <w:rsid w:val="3F288748"/>
    <w:rsid w:val="3F2EF8A6"/>
    <w:rsid w:val="3F31D88D"/>
    <w:rsid w:val="3F3A4F3D"/>
    <w:rsid w:val="3F3C0871"/>
    <w:rsid w:val="3F6AAE05"/>
    <w:rsid w:val="3F9CF265"/>
    <w:rsid w:val="3FDBB227"/>
    <w:rsid w:val="3FEA0569"/>
    <w:rsid w:val="3FEB4462"/>
    <w:rsid w:val="400A3CA7"/>
    <w:rsid w:val="40FD2225"/>
    <w:rsid w:val="411BB878"/>
    <w:rsid w:val="41924F31"/>
    <w:rsid w:val="41D5EA34"/>
    <w:rsid w:val="41DCECB3"/>
    <w:rsid w:val="424F5569"/>
    <w:rsid w:val="425EEEEF"/>
    <w:rsid w:val="42630443"/>
    <w:rsid w:val="42A5919F"/>
    <w:rsid w:val="42FA3BA7"/>
    <w:rsid w:val="4315A4D3"/>
    <w:rsid w:val="4325D14D"/>
    <w:rsid w:val="433671C1"/>
    <w:rsid w:val="437A9F08"/>
    <w:rsid w:val="43902FDD"/>
    <w:rsid w:val="43B49C29"/>
    <w:rsid w:val="43BD6A87"/>
    <w:rsid w:val="441EA6B1"/>
    <w:rsid w:val="442F94F5"/>
    <w:rsid w:val="444A5550"/>
    <w:rsid w:val="455BE2FA"/>
    <w:rsid w:val="46109AD4"/>
    <w:rsid w:val="4683E0B2"/>
    <w:rsid w:val="473A5D72"/>
    <w:rsid w:val="473ED2B0"/>
    <w:rsid w:val="475136A1"/>
    <w:rsid w:val="477B509A"/>
    <w:rsid w:val="47BDC509"/>
    <w:rsid w:val="47CDBB9E"/>
    <w:rsid w:val="47D0E7BD"/>
    <w:rsid w:val="4802029C"/>
    <w:rsid w:val="48058ABF"/>
    <w:rsid w:val="48C439A9"/>
    <w:rsid w:val="48D06951"/>
    <w:rsid w:val="49004977"/>
    <w:rsid w:val="49560165"/>
    <w:rsid w:val="498D4638"/>
    <w:rsid w:val="49957A2F"/>
    <w:rsid w:val="49DA7419"/>
    <w:rsid w:val="4A590575"/>
    <w:rsid w:val="4A7F1745"/>
    <w:rsid w:val="4AACC40D"/>
    <w:rsid w:val="4B0AA917"/>
    <w:rsid w:val="4B0C6BDB"/>
    <w:rsid w:val="4B32BEEC"/>
    <w:rsid w:val="4B33B9CD"/>
    <w:rsid w:val="4B3D1905"/>
    <w:rsid w:val="4B4113B5"/>
    <w:rsid w:val="4BA3E3AC"/>
    <w:rsid w:val="4BA5D4B7"/>
    <w:rsid w:val="4BE7FA3F"/>
    <w:rsid w:val="4C151E60"/>
    <w:rsid w:val="4C29428D"/>
    <w:rsid w:val="4C367ADB"/>
    <w:rsid w:val="4C944911"/>
    <w:rsid w:val="4C960580"/>
    <w:rsid w:val="4CB0162E"/>
    <w:rsid w:val="4CF4EE38"/>
    <w:rsid w:val="4D4AF999"/>
    <w:rsid w:val="4DAB2207"/>
    <w:rsid w:val="4DB44C7B"/>
    <w:rsid w:val="4E1211EC"/>
    <w:rsid w:val="4E307CB4"/>
    <w:rsid w:val="4E45AACD"/>
    <w:rsid w:val="4EA61BB9"/>
    <w:rsid w:val="4EC9325D"/>
    <w:rsid w:val="4EEEB9BA"/>
    <w:rsid w:val="4EF42CAD"/>
    <w:rsid w:val="4F0BC3B6"/>
    <w:rsid w:val="4F2037E4"/>
    <w:rsid w:val="4F48D306"/>
    <w:rsid w:val="4F721CA2"/>
    <w:rsid w:val="4F7E23E0"/>
    <w:rsid w:val="4FBC104D"/>
    <w:rsid w:val="4FD64A98"/>
    <w:rsid w:val="502C99C1"/>
    <w:rsid w:val="50336585"/>
    <w:rsid w:val="50517B2C"/>
    <w:rsid w:val="50578CB1"/>
    <w:rsid w:val="508F7F92"/>
    <w:rsid w:val="509E9F11"/>
    <w:rsid w:val="50A3D506"/>
    <w:rsid w:val="50BB605B"/>
    <w:rsid w:val="50D89EEC"/>
    <w:rsid w:val="50FEE43C"/>
    <w:rsid w:val="513BC40E"/>
    <w:rsid w:val="515DD342"/>
    <w:rsid w:val="515F71E2"/>
    <w:rsid w:val="51C7E083"/>
    <w:rsid w:val="51DF2698"/>
    <w:rsid w:val="51E04A55"/>
    <w:rsid w:val="51FB76B5"/>
    <w:rsid w:val="522008AA"/>
    <w:rsid w:val="523DF871"/>
    <w:rsid w:val="525D3A8A"/>
    <w:rsid w:val="5260CE69"/>
    <w:rsid w:val="528A5278"/>
    <w:rsid w:val="528D7131"/>
    <w:rsid w:val="528F24FA"/>
    <w:rsid w:val="533CD081"/>
    <w:rsid w:val="53752C83"/>
    <w:rsid w:val="539527BB"/>
    <w:rsid w:val="53972857"/>
    <w:rsid w:val="53EC094B"/>
    <w:rsid w:val="5455072C"/>
    <w:rsid w:val="546D3CA2"/>
    <w:rsid w:val="5514D104"/>
    <w:rsid w:val="5528EE4F"/>
    <w:rsid w:val="5592A98B"/>
    <w:rsid w:val="559F3767"/>
    <w:rsid w:val="5608FCFB"/>
    <w:rsid w:val="565E8E19"/>
    <w:rsid w:val="566CD897"/>
    <w:rsid w:val="56C3ED47"/>
    <w:rsid w:val="56EEA3A8"/>
    <w:rsid w:val="5703D327"/>
    <w:rsid w:val="57A6332D"/>
    <w:rsid w:val="57B0185A"/>
    <w:rsid w:val="57EB1149"/>
    <w:rsid w:val="57F2EF0D"/>
    <w:rsid w:val="5809EC42"/>
    <w:rsid w:val="5812A07A"/>
    <w:rsid w:val="5812BA41"/>
    <w:rsid w:val="583BAE37"/>
    <w:rsid w:val="5845C617"/>
    <w:rsid w:val="5846A56A"/>
    <w:rsid w:val="58475324"/>
    <w:rsid w:val="5861D241"/>
    <w:rsid w:val="588A6384"/>
    <w:rsid w:val="589D0AEB"/>
    <w:rsid w:val="58D9EBCF"/>
    <w:rsid w:val="59184706"/>
    <w:rsid w:val="5949C419"/>
    <w:rsid w:val="59827183"/>
    <w:rsid w:val="59F5FB26"/>
    <w:rsid w:val="5A6E6F3B"/>
    <w:rsid w:val="5A9FDAB7"/>
    <w:rsid w:val="5AB13CE1"/>
    <w:rsid w:val="5AD42844"/>
    <w:rsid w:val="5AE4B092"/>
    <w:rsid w:val="5B66116E"/>
    <w:rsid w:val="5B88CA3A"/>
    <w:rsid w:val="5BD55F7D"/>
    <w:rsid w:val="5BF183DD"/>
    <w:rsid w:val="5BF6DCA1"/>
    <w:rsid w:val="5C0C1A23"/>
    <w:rsid w:val="5CCC227D"/>
    <w:rsid w:val="5CD783C1"/>
    <w:rsid w:val="5D54F415"/>
    <w:rsid w:val="5D83E6DD"/>
    <w:rsid w:val="5D8BAAE5"/>
    <w:rsid w:val="5E1008E9"/>
    <w:rsid w:val="5E5580FB"/>
    <w:rsid w:val="5E911B9B"/>
    <w:rsid w:val="5EA5471E"/>
    <w:rsid w:val="5F14945E"/>
    <w:rsid w:val="5F19517C"/>
    <w:rsid w:val="5F2B7818"/>
    <w:rsid w:val="5F3B5220"/>
    <w:rsid w:val="5F3D425D"/>
    <w:rsid w:val="5F65E9FB"/>
    <w:rsid w:val="5F718389"/>
    <w:rsid w:val="5F862157"/>
    <w:rsid w:val="5F9E936F"/>
    <w:rsid w:val="5FAAB8AE"/>
    <w:rsid w:val="6059BA23"/>
    <w:rsid w:val="606AE213"/>
    <w:rsid w:val="609D3C1C"/>
    <w:rsid w:val="6143CE4D"/>
    <w:rsid w:val="6154E08C"/>
    <w:rsid w:val="61917E54"/>
    <w:rsid w:val="61C7A520"/>
    <w:rsid w:val="61F23EED"/>
    <w:rsid w:val="620176B9"/>
    <w:rsid w:val="6240C564"/>
    <w:rsid w:val="625246FE"/>
    <w:rsid w:val="627386E1"/>
    <w:rsid w:val="628E4A65"/>
    <w:rsid w:val="62E404D9"/>
    <w:rsid w:val="62FACA34"/>
    <w:rsid w:val="634F67D2"/>
    <w:rsid w:val="6374558D"/>
    <w:rsid w:val="639F7BAA"/>
    <w:rsid w:val="63AE82C3"/>
    <w:rsid w:val="63FD3C3A"/>
    <w:rsid w:val="646D6CBC"/>
    <w:rsid w:val="64886D3D"/>
    <w:rsid w:val="6496A407"/>
    <w:rsid w:val="64E0C1BC"/>
    <w:rsid w:val="655C3758"/>
    <w:rsid w:val="6575601B"/>
    <w:rsid w:val="65794927"/>
    <w:rsid w:val="658BD73C"/>
    <w:rsid w:val="659A7A7A"/>
    <w:rsid w:val="65E202B0"/>
    <w:rsid w:val="65E47989"/>
    <w:rsid w:val="6614D006"/>
    <w:rsid w:val="661E0DB0"/>
    <w:rsid w:val="662DABA9"/>
    <w:rsid w:val="664E4FAF"/>
    <w:rsid w:val="6669F036"/>
    <w:rsid w:val="66A09574"/>
    <w:rsid w:val="66A95C15"/>
    <w:rsid w:val="66B03591"/>
    <w:rsid w:val="6708D6AA"/>
    <w:rsid w:val="673D70C2"/>
    <w:rsid w:val="6751FC0D"/>
    <w:rsid w:val="6770349A"/>
    <w:rsid w:val="678C3517"/>
    <w:rsid w:val="67F20AE3"/>
    <w:rsid w:val="68359594"/>
    <w:rsid w:val="686BF682"/>
    <w:rsid w:val="686C5321"/>
    <w:rsid w:val="688EAA73"/>
    <w:rsid w:val="68A325F3"/>
    <w:rsid w:val="68A8D824"/>
    <w:rsid w:val="68B7843D"/>
    <w:rsid w:val="6908CD2D"/>
    <w:rsid w:val="692FA49B"/>
    <w:rsid w:val="69629883"/>
    <w:rsid w:val="697F95B2"/>
    <w:rsid w:val="69AFE636"/>
    <w:rsid w:val="69CC314E"/>
    <w:rsid w:val="69D858FB"/>
    <w:rsid w:val="69DAE45C"/>
    <w:rsid w:val="6A050CDE"/>
    <w:rsid w:val="6AF3397F"/>
    <w:rsid w:val="6C39B6B6"/>
    <w:rsid w:val="6C8712A5"/>
    <w:rsid w:val="6CA1E107"/>
    <w:rsid w:val="6CBD500E"/>
    <w:rsid w:val="6CE58DE6"/>
    <w:rsid w:val="6CF2555D"/>
    <w:rsid w:val="6D540666"/>
    <w:rsid w:val="6D5FB71D"/>
    <w:rsid w:val="6DC9CC43"/>
    <w:rsid w:val="6E755FB8"/>
    <w:rsid w:val="6E7C27B1"/>
    <w:rsid w:val="6ED03FF0"/>
    <w:rsid w:val="6F2AF129"/>
    <w:rsid w:val="6F502EB2"/>
    <w:rsid w:val="6F7ED374"/>
    <w:rsid w:val="6F85B5C1"/>
    <w:rsid w:val="6FE45C6B"/>
    <w:rsid w:val="6FFB5512"/>
    <w:rsid w:val="6FFDCFB0"/>
    <w:rsid w:val="7050E0DC"/>
    <w:rsid w:val="706255EE"/>
    <w:rsid w:val="70AD1E9A"/>
    <w:rsid w:val="70D6348B"/>
    <w:rsid w:val="70D6DA94"/>
    <w:rsid w:val="70E4CC39"/>
    <w:rsid w:val="70F8F120"/>
    <w:rsid w:val="7155E29F"/>
    <w:rsid w:val="7156F67E"/>
    <w:rsid w:val="718E95E5"/>
    <w:rsid w:val="71E887E9"/>
    <w:rsid w:val="72377B20"/>
    <w:rsid w:val="727FDD7C"/>
    <w:rsid w:val="72C85559"/>
    <w:rsid w:val="72DA5B3D"/>
    <w:rsid w:val="72DBA5C0"/>
    <w:rsid w:val="7319738C"/>
    <w:rsid w:val="734E182E"/>
    <w:rsid w:val="738E3832"/>
    <w:rsid w:val="73C59A9B"/>
    <w:rsid w:val="73DF99E5"/>
    <w:rsid w:val="73F9C702"/>
    <w:rsid w:val="740E4512"/>
    <w:rsid w:val="74183801"/>
    <w:rsid w:val="7459B893"/>
    <w:rsid w:val="74775871"/>
    <w:rsid w:val="74ED5162"/>
    <w:rsid w:val="751E899B"/>
    <w:rsid w:val="752F8FF1"/>
    <w:rsid w:val="75CD6471"/>
    <w:rsid w:val="7673EBAF"/>
    <w:rsid w:val="767D7553"/>
    <w:rsid w:val="76996E63"/>
    <w:rsid w:val="76EFE565"/>
    <w:rsid w:val="77391601"/>
    <w:rsid w:val="774DE5F7"/>
    <w:rsid w:val="77AA0E6D"/>
    <w:rsid w:val="77AE4DBF"/>
    <w:rsid w:val="77D001F9"/>
    <w:rsid w:val="77F63BAA"/>
    <w:rsid w:val="7814C9C4"/>
    <w:rsid w:val="7866FA31"/>
    <w:rsid w:val="78B8A772"/>
    <w:rsid w:val="790618C3"/>
    <w:rsid w:val="790FA587"/>
    <w:rsid w:val="7934BF02"/>
    <w:rsid w:val="79352A0D"/>
    <w:rsid w:val="7946DB36"/>
    <w:rsid w:val="7998224C"/>
    <w:rsid w:val="7A07A84A"/>
    <w:rsid w:val="7A1861C2"/>
    <w:rsid w:val="7A2D287E"/>
    <w:rsid w:val="7AB41775"/>
    <w:rsid w:val="7ABAC359"/>
    <w:rsid w:val="7AC98892"/>
    <w:rsid w:val="7AD6756C"/>
    <w:rsid w:val="7AD9E984"/>
    <w:rsid w:val="7AFC1DBE"/>
    <w:rsid w:val="7B264DCC"/>
    <w:rsid w:val="7B54FE0F"/>
    <w:rsid w:val="7BC76D23"/>
    <w:rsid w:val="7BEF90CB"/>
    <w:rsid w:val="7C1C30C1"/>
    <w:rsid w:val="7C21BE2E"/>
    <w:rsid w:val="7C634B12"/>
    <w:rsid w:val="7CAD4548"/>
    <w:rsid w:val="7D4A5107"/>
    <w:rsid w:val="7D53C439"/>
    <w:rsid w:val="7D65164E"/>
    <w:rsid w:val="7D8747CA"/>
    <w:rsid w:val="7DA0AC94"/>
    <w:rsid w:val="7DD28AAC"/>
    <w:rsid w:val="7DF79DCB"/>
    <w:rsid w:val="7E41008A"/>
    <w:rsid w:val="7E451CB5"/>
    <w:rsid w:val="7EB8EACA"/>
    <w:rsid w:val="7F582EEE"/>
    <w:rsid w:val="7F595731"/>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52F73"/>
  <w15:chartTrackingRefBased/>
  <w15:docId w15:val="{4712691E-AF70-42DD-844D-CDB11D3F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4D5E"/>
    <w:rPr>
      <w:rFonts w:ascii="Arial" w:hAnsi="Arial"/>
      <w:sz w:val="20"/>
    </w:rPr>
  </w:style>
  <w:style w:type="paragraph" w:styleId="Naslov1">
    <w:name w:val="heading 1"/>
    <w:basedOn w:val="Navaden"/>
    <w:next w:val="Navaden"/>
    <w:link w:val="Naslov1Znak"/>
    <w:uiPriority w:val="9"/>
    <w:qFormat/>
    <w:rsid w:val="00076FA4"/>
    <w:pPr>
      <w:keepNext/>
      <w:keepLines/>
      <w:numPr>
        <w:numId w:val="2"/>
      </w:numPr>
      <w:spacing w:before="240" w:after="0"/>
      <w:jc w:val="both"/>
      <w:outlineLvl w:val="0"/>
    </w:pPr>
    <w:rPr>
      <w:rFonts w:eastAsiaTheme="majorEastAsia" w:cstheme="majorBidi"/>
      <w:color w:val="4472C4" w:themeColor="accent1"/>
      <w:sz w:val="24"/>
      <w:szCs w:val="32"/>
    </w:rPr>
  </w:style>
  <w:style w:type="paragraph" w:styleId="Naslov2">
    <w:name w:val="heading 2"/>
    <w:basedOn w:val="Navaden"/>
    <w:next w:val="Navaden"/>
    <w:link w:val="Naslov2Znak"/>
    <w:uiPriority w:val="9"/>
    <w:unhideWhenUsed/>
    <w:qFormat/>
    <w:rsid w:val="00076FA4"/>
    <w:pPr>
      <w:keepNext/>
      <w:keepLines/>
      <w:numPr>
        <w:numId w:val="3"/>
      </w:numPr>
      <w:spacing w:before="40" w:after="0"/>
      <w:jc w:val="both"/>
      <w:outlineLvl w:val="1"/>
    </w:pPr>
    <w:rPr>
      <w:rFonts w:eastAsiaTheme="majorEastAsia" w:cstheme="majorBidi"/>
      <w:color w:val="4472C4" w:themeColor="accent1"/>
      <w:sz w:val="24"/>
      <w:szCs w:val="26"/>
    </w:rPr>
  </w:style>
  <w:style w:type="paragraph" w:styleId="Naslov3">
    <w:name w:val="heading 3"/>
    <w:basedOn w:val="Navaden"/>
    <w:next w:val="Navaden"/>
    <w:link w:val="Naslov3Znak"/>
    <w:uiPriority w:val="9"/>
    <w:unhideWhenUsed/>
    <w:qFormat/>
    <w:rsid w:val="00076FA4"/>
    <w:pPr>
      <w:keepNext/>
      <w:keepLines/>
      <w:spacing w:before="40" w:after="0"/>
      <w:jc w:val="both"/>
      <w:outlineLvl w:val="2"/>
    </w:pPr>
    <w:rPr>
      <w:rFonts w:eastAsiaTheme="majorEastAsia"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174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LIST OF TABLES.,references,Bullets,References,Liste 1,Numbered List Paragraph,ReferencesCxSpLast,Dot pt,No Spacing1,List Paragraph Char Char Char,Indicator Text,Numbered Para 1,List Paragraph à moi,LISTA,List Paragraph1,Recommendation,L"/>
    <w:basedOn w:val="Navaden"/>
    <w:link w:val="OdstavekseznamaZnak"/>
    <w:uiPriority w:val="34"/>
    <w:qFormat/>
    <w:rsid w:val="00174B62"/>
    <w:pPr>
      <w:ind w:left="720"/>
      <w:contextualSpacing/>
    </w:pPr>
  </w:style>
  <w:style w:type="character" w:styleId="Pripombasklic">
    <w:name w:val="annotation reference"/>
    <w:basedOn w:val="Privzetapisavaodstavka"/>
    <w:unhideWhenUsed/>
    <w:rsid w:val="00174B62"/>
    <w:rPr>
      <w:sz w:val="16"/>
      <w:szCs w:val="16"/>
    </w:rPr>
  </w:style>
  <w:style w:type="paragraph" w:styleId="Pripombabesedilo">
    <w:name w:val="annotation text"/>
    <w:basedOn w:val="Navaden"/>
    <w:link w:val="PripombabesediloZnak"/>
    <w:unhideWhenUsed/>
    <w:rsid w:val="00174B62"/>
    <w:pPr>
      <w:spacing w:line="240" w:lineRule="auto"/>
    </w:pPr>
    <w:rPr>
      <w:szCs w:val="20"/>
    </w:rPr>
  </w:style>
  <w:style w:type="character" w:customStyle="1" w:styleId="PripombabesediloZnak">
    <w:name w:val="Pripomba – besedilo Znak"/>
    <w:basedOn w:val="Privzetapisavaodstavka"/>
    <w:link w:val="Pripombabesedilo"/>
    <w:rsid w:val="00174B62"/>
    <w:rPr>
      <w:sz w:val="20"/>
      <w:szCs w:val="20"/>
    </w:rPr>
  </w:style>
  <w:style w:type="character" w:customStyle="1" w:styleId="OdstavekseznamaZnak">
    <w:name w:val="Odstavek seznama Znak"/>
    <w:aliases w:val="LIST OF TABLES. Znak,references Znak,Bullets Znak,References Znak,Liste 1 Znak,Numbered List Paragraph Znak,ReferencesCxSpLast Znak,Dot pt Znak,No Spacing1 Znak,List Paragraph Char Char Char Znak,Indicator Text Znak,LISTA Znak"/>
    <w:link w:val="Odstavekseznama"/>
    <w:uiPriority w:val="34"/>
    <w:qFormat/>
    <w:locked/>
    <w:rsid w:val="00E16867"/>
  </w:style>
  <w:style w:type="paragraph" w:styleId="Stvarnokazalo1">
    <w:name w:val="index 1"/>
    <w:basedOn w:val="Navaden"/>
    <w:next w:val="Navaden"/>
    <w:autoRedefine/>
    <w:uiPriority w:val="99"/>
    <w:semiHidden/>
    <w:unhideWhenUsed/>
    <w:rsid w:val="0022719D"/>
    <w:pPr>
      <w:spacing w:after="0" w:line="240" w:lineRule="auto"/>
      <w:ind w:left="220" w:hanging="220"/>
    </w:pPr>
  </w:style>
  <w:style w:type="paragraph" w:styleId="Stvarnokazalo2">
    <w:name w:val="index 2"/>
    <w:basedOn w:val="Navaden"/>
    <w:next w:val="Navaden"/>
    <w:autoRedefine/>
    <w:uiPriority w:val="99"/>
    <w:semiHidden/>
    <w:unhideWhenUsed/>
    <w:rsid w:val="0022719D"/>
    <w:pPr>
      <w:spacing w:after="0" w:line="240" w:lineRule="auto"/>
      <w:ind w:left="440" w:hanging="220"/>
    </w:pPr>
  </w:style>
  <w:style w:type="paragraph" w:styleId="Glava">
    <w:name w:val="header"/>
    <w:basedOn w:val="Navaden"/>
    <w:link w:val="GlavaZnak"/>
    <w:unhideWhenUsed/>
    <w:rsid w:val="00FE32EA"/>
    <w:pPr>
      <w:tabs>
        <w:tab w:val="center" w:pos="4536"/>
        <w:tab w:val="right" w:pos="9072"/>
      </w:tabs>
      <w:spacing w:after="0" w:line="240" w:lineRule="auto"/>
    </w:pPr>
  </w:style>
  <w:style w:type="character" w:customStyle="1" w:styleId="GlavaZnak">
    <w:name w:val="Glava Znak"/>
    <w:basedOn w:val="Privzetapisavaodstavka"/>
    <w:link w:val="Glava"/>
    <w:rsid w:val="00FE32EA"/>
  </w:style>
  <w:style w:type="paragraph" w:styleId="Noga">
    <w:name w:val="footer"/>
    <w:basedOn w:val="Navaden"/>
    <w:link w:val="NogaZnak"/>
    <w:uiPriority w:val="99"/>
    <w:unhideWhenUsed/>
    <w:rsid w:val="00FE32EA"/>
    <w:pPr>
      <w:tabs>
        <w:tab w:val="center" w:pos="4536"/>
        <w:tab w:val="right" w:pos="9072"/>
      </w:tabs>
      <w:spacing w:after="0" w:line="240" w:lineRule="auto"/>
    </w:pPr>
  </w:style>
  <w:style w:type="character" w:customStyle="1" w:styleId="NogaZnak">
    <w:name w:val="Noga Znak"/>
    <w:basedOn w:val="Privzetapisavaodstavka"/>
    <w:link w:val="Noga"/>
    <w:uiPriority w:val="99"/>
    <w:rsid w:val="00FE32EA"/>
  </w:style>
  <w:style w:type="paragraph" w:styleId="Telobesedila2">
    <w:name w:val="Body Text 2"/>
    <w:basedOn w:val="Navaden"/>
    <w:link w:val="Telobesedila2Znak"/>
    <w:rsid w:val="00FE32EA"/>
    <w:pPr>
      <w:spacing w:after="0" w:line="240" w:lineRule="auto"/>
      <w:jc w:val="both"/>
    </w:pPr>
    <w:rPr>
      <w:rFonts w:ascii="Times New Roman" w:eastAsia="Times New Roman" w:hAnsi="Times New Roman" w:cs="Times New Roman"/>
      <w:b/>
      <w:bCs/>
      <w:kern w:val="0"/>
      <w:sz w:val="24"/>
      <w:szCs w:val="24"/>
      <w14:ligatures w14:val="none"/>
    </w:rPr>
  </w:style>
  <w:style w:type="character" w:customStyle="1" w:styleId="Telobesedila2Znak">
    <w:name w:val="Telo besedila 2 Znak"/>
    <w:basedOn w:val="Privzetapisavaodstavka"/>
    <w:link w:val="Telobesedila2"/>
    <w:rsid w:val="00FE32EA"/>
    <w:rPr>
      <w:rFonts w:ascii="Times New Roman" w:eastAsia="Times New Roman" w:hAnsi="Times New Roman" w:cs="Times New Roman"/>
      <w:b/>
      <w:bCs/>
      <w:kern w:val="0"/>
      <w:sz w:val="24"/>
      <w:szCs w:val="24"/>
      <w14:ligatures w14:val="none"/>
    </w:rPr>
  </w:style>
  <w:style w:type="paragraph" w:styleId="Revizija">
    <w:name w:val="Revision"/>
    <w:hidden/>
    <w:uiPriority w:val="99"/>
    <w:semiHidden/>
    <w:rsid w:val="00FE32EA"/>
    <w:pPr>
      <w:spacing w:after="0" w:line="240" w:lineRule="auto"/>
    </w:pPr>
  </w:style>
  <w:style w:type="paragraph" w:styleId="Zadevapripombe">
    <w:name w:val="annotation subject"/>
    <w:basedOn w:val="Pripombabesedilo"/>
    <w:next w:val="Pripombabesedilo"/>
    <w:link w:val="ZadevapripombeZnak"/>
    <w:uiPriority w:val="99"/>
    <w:semiHidden/>
    <w:unhideWhenUsed/>
    <w:rsid w:val="001944E7"/>
    <w:rPr>
      <w:b/>
      <w:bCs/>
    </w:rPr>
  </w:style>
  <w:style w:type="character" w:customStyle="1" w:styleId="ZadevapripombeZnak">
    <w:name w:val="Zadeva pripombe Znak"/>
    <w:basedOn w:val="PripombabesediloZnak"/>
    <w:link w:val="Zadevapripombe"/>
    <w:uiPriority w:val="99"/>
    <w:semiHidden/>
    <w:rsid w:val="001944E7"/>
    <w:rPr>
      <w:b/>
      <w:bCs/>
      <w:sz w:val="20"/>
      <w:szCs w:val="20"/>
    </w:rPr>
  </w:style>
  <w:style w:type="character" w:customStyle="1" w:styleId="Naslov1Znak">
    <w:name w:val="Naslov 1 Znak"/>
    <w:basedOn w:val="Privzetapisavaodstavka"/>
    <w:link w:val="Naslov1"/>
    <w:uiPriority w:val="9"/>
    <w:rsid w:val="00076FA4"/>
    <w:rPr>
      <w:rFonts w:ascii="Arial" w:eastAsiaTheme="majorEastAsia" w:hAnsi="Arial" w:cstheme="majorBidi"/>
      <w:color w:val="4472C4" w:themeColor="accent1"/>
      <w:sz w:val="24"/>
      <w:szCs w:val="32"/>
    </w:rPr>
  </w:style>
  <w:style w:type="character" w:customStyle="1" w:styleId="Naslov2Znak">
    <w:name w:val="Naslov 2 Znak"/>
    <w:basedOn w:val="Privzetapisavaodstavka"/>
    <w:link w:val="Naslov2"/>
    <w:uiPriority w:val="9"/>
    <w:rsid w:val="00076FA4"/>
    <w:rPr>
      <w:rFonts w:ascii="Arial" w:eastAsiaTheme="majorEastAsia" w:hAnsi="Arial" w:cstheme="majorBidi"/>
      <w:color w:val="4472C4" w:themeColor="accent1"/>
      <w:sz w:val="24"/>
      <w:szCs w:val="26"/>
    </w:rPr>
  </w:style>
  <w:style w:type="paragraph" w:styleId="NaslovTOC">
    <w:name w:val="TOC Heading"/>
    <w:basedOn w:val="Naslov1"/>
    <w:next w:val="Navaden"/>
    <w:uiPriority w:val="39"/>
    <w:unhideWhenUsed/>
    <w:qFormat/>
    <w:rsid w:val="002048B8"/>
    <w:pPr>
      <w:numPr>
        <w:numId w:val="0"/>
      </w:numPr>
      <w:outlineLvl w:val="9"/>
    </w:pPr>
    <w:rPr>
      <w:kern w:val="0"/>
      <w:sz w:val="32"/>
      <w:lang w:eastAsia="sl-SI"/>
      <w14:ligatures w14:val="none"/>
    </w:rPr>
  </w:style>
  <w:style w:type="paragraph" w:styleId="Kazalovsebine1">
    <w:name w:val="toc 1"/>
    <w:basedOn w:val="Navaden"/>
    <w:next w:val="Navaden"/>
    <w:autoRedefine/>
    <w:uiPriority w:val="39"/>
    <w:unhideWhenUsed/>
    <w:rsid w:val="00986929"/>
    <w:pPr>
      <w:tabs>
        <w:tab w:val="left" w:pos="440"/>
        <w:tab w:val="right" w:leader="dot" w:pos="9062"/>
      </w:tabs>
      <w:spacing w:after="100"/>
      <w:jc w:val="both"/>
    </w:pPr>
  </w:style>
  <w:style w:type="paragraph" w:styleId="Kazalovsebine2">
    <w:name w:val="toc 2"/>
    <w:basedOn w:val="Navaden"/>
    <w:next w:val="Navaden"/>
    <w:autoRedefine/>
    <w:uiPriority w:val="39"/>
    <w:unhideWhenUsed/>
    <w:rsid w:val="00E016AD"/>
    <w:pPr>
      <w:tabs>
        <w:tab w:val="left" w:pos="880"/>
        <w:tab w:val="right" w:leader="dot" w:pos="9062"/>
      </w:tabs>
      <w:spacing w:after="100"/>
      <w:ind w:left="220"/>
      <w:jc w:val="both"/>
    </w:pPr>
  </w:style>
  <w:style w:type="character" w:styleId="Hiperpovezava">
    <w:name w:val="Hyperlink"/>
    <w:basedOn w:val="Privzetapisavaodstavka"/>
    <w:uiPriority w:val="99"/>
    <w:unhideWhenUsed/>
    <w:rsid w:val="002048B8"/>
    <w:rPr>
      <w:color w:val="0563C1" w:themeColor="hyperlink"/>
      <w:u w:val="single"/>
    </w:rPr>
  </w:style>
  <w:style w:type="character" w:customStyle="1" w:styleId="Naslov3Znak">
    <w:name w:val="Naslov 3 Znak"/>
    <w:basedOn w:val="Privzetapisavaodstavka"/>
    <w:link w:val="Naslov3"/>
    <w:uiPriority w:val="9"/>
    <w:rsid w:val="00076FA4"/>
    <w:rPr>
      <w:rFonts w:ascii="Arial" w:eastAsiaTheme="majorEastAsia" w:hAnsi="Arial" w:cstheme="majorBidi"/>
      <w:color w:val="1F3763" w:themeColor="accent1" w:themeShade="7F"/>
      <w:sz w:val="24"/>
      <w:szCs w:val="24"/>
    </w:rPr>
  </w:style>
  <w:style w:type="paragraph" w:styleId="Brezrazmikov">
    <w:name w:val="No Spacing"/>
    <w:uiPriority w:val="1"/>
    <w:qFormat/>
    <w:rsid w:val="00670DB8"/>
    <w:pPr>
      <w:spacing w:after="0" w:line="240" w:lineRule="auto"/>
    </w:pPr>
    <w:rPr>
      <w:rFonts w:ascii="Arial" w:hAnsi="Arial"/>
      <w:sz w:val="20"/>
    </w:rPr>
  </w:style>
  <w:style w:type="paragraph" w:styleId="Sprotnaopomba-besedilo">
    <w:name w:val="footnote text"/>
    <w:basedOn w:val="Navaden"/>
    <w:link w:val="Sprotnaopomba-besediloZnak"/>
    <w:uiPriority w:val="99"/>
    <w:semiHidden/>
    <w:unhideWhenUsed/>
    <w:rsid w:val="002E1975"/>
    <w:pPr>
      <w:spacing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2E1975"/>
    <w:rPr>
      <w:sz w:val="20"/>
      <w:szCs w:val="20"/>
    </w:rPr>
  </w:style>
  <w:style w:type="character" w:styleId="Sprotnaopomba-sklic">
    <w:name w:val="footnote reference"/>
    <w:basedOn w:val="Privzetapisavaodstavka"/>
    <w:uiPriority w:val="99"/>
    <w:semiHidden/>
    <w:unhideWhenUsed/>
    <w:rsid w:val="002E1975"/>
    <w:rPr>
      <w:vertAlign w:val="superscript"/>
    </w:rPr>
  </w:style>
  <w:style w:type="paragraph" w:styleId="Napis">
    <w:name w:val="caption"/>
    <w:basedOn w:val="Navaden"/>
    <w:next w:val="Navaden"/>
    <w:uiPriority w:val="35"/>
    <w:unhideWhenUsed/>
    <w:qFormat/>
    <w:rsid w:val="00701B0A"/>
    <w:pPr>
      <w:spacing w:after="200" w:line="240" w:lineRule="auto"/>
    </w:pPr>
    <w:rPr>
      <w:i/>
      <w:iCs/>
      <w:color w:val="44546A" w:themeColor="text2"/>
      <w:sz w:val="18"/>
      <w:szCs w:val="18"/>
    </w:rPr>
  </w:style>
  <w:style w:type="paragraph" w:styleId="Kazalovsebine3">
    <w:name w:val="toc 3"/>
    <w:basedOn w:val="Navaden"/>
    <w:next w:val="Navaden"/>
    <w:autoRedefine/>
    <w:uiPriority w:val="39"/>
    <w:unhideWhenUsed/>
    <w:rsid w:val="00E016AD"/>
    <w:pPr>
      <w:tabs>
        <w:tab w:val="left" w:pos="1320"/>
        <w:tab w:val="right" w:leader="dot" w:pos="9062"/>
      </w:tabs>
      <w:spacing w:after="100"/>
      <w:ind w:left="440"/>
      <w:jc w:val="both"/>
    </w:pPr>
  </w:style>
  <w:style w:type="paragraph" w:styleId="Kazaloslik">
    <w:name w:val="table of figures"/>
    <w:basedOn w:val="Navaden"/>
    <w:next w:val="Navaden"/>
    <w:uiPriority w:val="99"/>
    <w:unhideWhenUsed/>
    <w:rsid w:val="00001AA8"/>
    <w:pPr>
      <w:spacing w:after="0"/>
    </w:pPr>
  </w:style>
  <w:style w:type="character" w:styleId="SledenaHiperpovezava">
    <w:name w:val="FollowedHyperlink"/>
    <w:basedOn w:val="Privzetapisavaodstavka"/>
    <w:uiPriority w:val="99"/>
    <w:semiHidden/>
    <w:unhideWhenUsed/>
    <w:rsid w:val="00FC5C9F"/>
    <w:rPr>
      <w:color w:val="954F72" w:themeColor="followedHyperlink"/>
      <w:u w:val="single"/>
    </w:rPr>
  </w:style>
  <w:style w:type="character" w:customStyle="1" w:styleId="Nerazreenaomemba1">
    <w:name w:val="Nerazrešena omemba1"/>
    <w:basedOn w:val="Privzetapisavaodstavka"/>
    <w:uiPriority w:val="99"/>
    <w:semiHidden/>
    <w:unhideWhenUsed/>
    <w:rsid w:val="00FC5C9F"/>
    <w:rPr>
      <w:color w:val="605E5C"/>
      <w:shd w:val="clear" w:color="auto" w:fill="E1DFDD"/>
    </w:rPr>
  </w:style>
  <w:style w:type="paragraph" w:styleId="Besedilooblaka">
    <w:name w:val="Balloon Text"/>
    <w:basedOn w:val="Navaden"/>
    <w:link w:val="BesedilooblakaZnak"/>
    <w:uiPriority w:val="99"/>
    <w:semiHidden/>
    <w:unhideWhenUsed/>
    <w:rsid w:val="001D276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D2761"/>
    <w:rPr>
      <w:rFonts w:ascii="Segoe UI" w:hAnsi="Segoe UI" w:cs="Segoe UI"/>
      <w:sz w:val="18"/>
      <w:szCs w:val="18"/>
    </w:rPr>
  </w:style>
  <w:style w:type="table" w:customStyle="1" w:styleId="Tabelamrea1">
    <w:name w:val="Tabela – mreža1"/>
    <w:basedOn w:val="Navadnatabela"/>
    <w:next w:val="Tabelamrea"/>
    <w:uiPriority w:val="39"/>
    <w:rsid w:val="0011459E"/>
    <w:pPr>
      <w:spacing w:after="0" w:line="240" w:lineRule="auto"/>
    </w:pPr>
    <w:rPr>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11459E"/>
    <w:pPr>
      <w:spacing w:after="0" w:line="240" w:lineRule="auto"/>
    </w:pPr>
    <w:rPr>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11459E"/>
    <w:pPr>
      <w:spacing w:after="0" w:line="240" w:lineRule="auto"/>
    </w:pPr>
    <w:rPr>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B56689"/>
    <w:pPr>
      <w:spacing w:after="0" w:line="240" w:lineRule="auto"/>
    </w:pPr>
    <w:rPr>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memba">
    <w:name w:val="Mention"/>
    <w:basedOn w:val="Privzetapisavaodstavka"/>
    <w:uiPriority w:val="99"/>
    <w:unhideWhenUsed/>
    <w:rsid w:val="00E25C5F"/>
    <w:rPr>
      <w:color w:val="2B579A"/>
      <w:shd w:val="clear" w:color="auto" w:fill="E1DFDD"/>
    </w:rPr>
  </w:style>
  <w:style w:type="paragraph" w:styleId="Konnaopomba-besedilo">
    <w:name w:val="endnote text"/>
    <w:basedOn w:val="Navaden"/>
    <w:link w:val="Konnaopomba-besediloZnak"/>
    <w:uiPriority w:val="99"/>
    <w:semiHidden/>
    <w:unhideWhenUsed/>
    <w:rsid w:val="00F7498E"/>
    <w:pPr>
      <w:spacing w:after="0" w:line="240" w:lineRule="auto"/>
    </w:pPr>
    <w:rPr>
      <w:szCs w:val="20"/>
    </w:rPr>
  </w:style>
  <w:style w:type="character" w:customStyle="1" w:styleId="Konnaopomba-besediloZnak">
    <w:name w:val="Končna opomba - besedilo Znak"/>
    <w:basedOn w:val="Privzetapisavaodstavka"/>
    <w:link w:val="Konnaopomba-besedilo"/>
    <w:uiPriority w:val="99"/>
    <w:semiHidden/>
    <w:rsid w:val="00F7498E"/>
    <w:rPr>
      <w:rFonts w:ascii="Arial" w:hAnsi="Arial"/>
      <w:sz w:val="20"/>
      <w:szCs w:val="20"/>
    </w:rPr>
  </w:style>
  <w:style w:type="character" w:styleId="Konnaopomba-sklic">
    <w:name w:val="endnote reference"/>
    <w:basedOn w:val="Privzetapisavaodstavka"/>
    <w:uiPriority w:val="99"/>
    <w:semiHidden/>
    <w:unhideWhenUsed/>
    <w:rsid w:val="00F7498E"/>
    <w:rPr>
      <w:vertAlign w:val="superscript"/>
    </w:rPr>
  </w:style>
  <w:style w:type="character" w:styleId="Nerazreenaomemba">
    <w:name w:val="Unresolved Mention"/>
    <w:basedOn w:val="Privzetapisavaodstavka"/>
    <w:uiPriority w:val="99"/>
    <w:semiHidden/>
    <w:unhideWhenUsed/>
    <w:rsid w:val="00F74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33901">
      <w:bodyDiv w:val="1"/>
      <w:marLeft w:val="0"/>
      <w:marRight w:val="0"/>
      <w:marTop w:val="0"/>
      <w:marBottom w:val="0"/>
      <w:divBdr>
        <w:top w:val="none" w:sz="0" w:space="0" w:color="auto"/>
        <w:left w:val="none" w:sz="0" w:space="0" w:color="auto"/>
        <w:bottom w:val="none" w:sz="0" w:space="0" w:color="auto"/>
        <w:right w:val="none" w:sz="0" w:space="0" w:color="auto"/>
      </w:divBdr>
    </w:div>
    <w:div w:id="374087860">
      <w:bodyDiv w:val="1"/>
      <w:marLeft w:val="0"/>
      <w:marRight w:val="0"/>
      <w:marTop w:val="0"/>
      <w:marBottom w:val="0"/>
      <w:divBdr>
        <w:top w:val="none" w:sz="0" w:space="0" w:color="auto"/>
        <w:left w:val="none" w:sz="0" w:space="0" w:color="auto"/>
        <w:bottom w:val="none" w:sz="0" w:space="0" w:color="auto"/>
        <w:right w:val="none" w:sz="0" w:space="0" w:color="auto"/>
      </w:divBdr>
    </w:div>
    <w:div w:id="498424528">
      <w:bodyDiv w:val="1"/>
      <w:marLeft w:val="0"/>
      <w:marRight w:val="0"/>
      <w:marTop w:val="0"/>
      <w:marBottom w:val="0"/>
      <w:divBdr>
        <w:top w:val="none" w:sz="0" w:space="0" w:color="auto"/>
        <w:left w:val="none" w:sz="0" w:space="0" w:color="auto"/>
        <w:bottom w:val="none" w:sz="0" w:space="0" w:color="auto"/>
        <w:right w:val="none" w:sz="0" w:space="0" w:color="auto"/>
      </w:divBdr>
    </w:div>
    <w:div w:id="531385693">
      <w:bodyDiv w:val="1"/>
      <w:marLeft w:val="0"/>
      <w:marRight w:val="0"/>
      <w:marTop w:val="0"/>
      <w:marBottom w:val="0"/>
      <w:divBdr>
        <w:top w:val="none" w:sz="0" w:space="0" w:color="auto"/>
        <w:left w:val="none" w:sz="0" w:space="0" w:color="auto"/>
        <w:bottom w:val="none" w:sz="0" w:space="0" w:color="auto"/>
        <w:right w:val="none" w:sz="0" w:space="0" w:color="auto"/>
      </w:divBdr>
    </w:div>
    <w:div w:id="585695369">
      <w:bodyDiv w:val="1"/>
      <w:marLeft w:val="0"/>
      <w:marRight w:val="0"/>
      <w:marTop w:val="0"/>
      <w:marBottom w:val="0"/>
      <w:divBdr>
        <w:top w:val="none" w:sz="0" w:space="0" w:color="auto"/>
        <w:left w:val="none" w:sz="0" w:space="0" w:color="auto"/>
        <w:bottom w:val="none" w:sz="0" w:space="0" w:color="auto"/>
        <w:right w:val="none" w:sz="0" w:space="0" w:color="auto"/>
      </w:divBdr>
    </w:div>
    <w:div w:id="611597774">
      <w:bodyDiv w:val="1"/>
      <w:marLeft w:val="0"/>
      <w:marRight w:val="0"/>
      <w:marTop w:val="0"/>
      <w:marBottom w:val="0"/>
      <w:divBdr>
        <w:top w:val="none" w:sz="0" w:space="0" w:color="auto"/>
        <w:left w:val="none" w:sz="0" w:space="0" w:color="auto"/>
        <w:bottom w:val="none" w:sz="0" w:space="0" w:color="auto"/>
        <w:right w:val="none" w:sz="0" w:space="0" w:color="auto"/>
      </w:divBdr>
    </w:div>
    <w:div w:id="657000160">
      <w:bodyDiv w:val="1"/>
      <w:marLeft w:val="0"/>
      <w:marRight w:val="0"/>
      <w:marTop w:val="0"/>
      <w:marBottom w:val="0"/>
      <w:divBdr>
        <w:top w:val="none" w:sz="0" w:space="0" w:color="auto"/>
        <w:left w:val="none" w:sz="0" w:space="0" w:color="auto"/>
        <w:bottom w:val="none" w:sz="0" w:space="0" w:color="auto"/>
        <w:right w:val="none" w:sz="0" w:space="0" w:color="auto"/>
      </w:divBdr>
    </w:div>
    <w:div w:id="706487675">
      <w:bodyDiv w:val="1"/>
      <w:marLeft w:val="0"/>
      <w:marRight w:val="0"/>
      <w:marTop w:val="0"/>
      <w:marBottom w:val="0"/>
      <w:divBdr>
        <w:top w:val="none" w:sz="0" w:space="0" w:color="auto"/>
        <w:left w:val="none" w:sz="0" w:space="0" w:color="auto"/>
        <w:bottom w:val="none" w:sz="0" w:space="0" w:color="auto"/>
        <w:right w:val="none" w:sz="0" w:space="0" w:color="auto"/>
      </w:divBdr>
    </w:div>
    <w:div w:id="861747515">
      <w:bodyDiv w:val="1"/>
      <w:marLeft w:val="0"/>
      <w:marRight w:val="0"/>
      <w:marTop w:val="0"/>
      <w:marBottom w:val="0"/>
      <w:divBdr>
        <w:top w:val="none" w:sz="0" w:space="0" w:color="auto"/>
        <w:left w:val="none" w:sz="0" w:space="0" w:color="auto"/>
        <w:bottom w:val="none" w:sz="0" w:space="0" w:color="auto"/>
        <w:right w:val="none" w:sz="0" w:space="0" w:color="auto"/>
      </w:divBdr>
    </w:div>
    <w:div w:id="1018895209">
      <w:bodyDiv w:val="1"/>
      <w:marLeft w:val="0"/>
      <w:marRight w:val="0"/>
      <w:marTop w:val="0"/>
      <w:marBottom w:val="0"/>
      <w:divBdr>
        <w:top w:val="none" w:sz="0" w:space="0" w:color="auto"/>
        <w:left w:val="none" w:sz="0" w:space="0" w:color="auto"/>
        <w:bottom w:val="none" w:sz="0" w:space="0" w:color="auto"/>
        <w:right w:val="none" w:sz="0" w:space="0" w:color="auto"/>
      </w:divBdr>
    </w:div>
    <w:div w:id="1216697843">
      <w:bodyDiv w:val="1"/>
      <w:marLeft w:val="0"/>
      <w:marRight w:val="0"/>
      <w:marTop w:val="0"/>
      <w:marBottom w:val="0"/>
      <w:divBdr>
        <w:top w:val="none" w:sz="0" w:space="0" w:color="auto"/>
        <w:left w:val="none" w:sz="0" w:space="0" w:color="auto"/>
        <w:bottom w:val="none" w:sz="0" w:space="0" w:color="auto"/>
        <w:right w:val="none" w:sz="0" w:space="0" w:color="auto"/>
      </w:divBdr>
    </w:div>
    <w:div w:id="1253471607">
      <w:bodyDiv w:val="1"/>
      <w:marLeft w:val="0"/>
      <w:marRight w:val="0"/>
      <w:marTop w:val="0"/>
      <w:marBottom w:val="0"/>
      <w:divBdr>
        <w:top w:val="none" w:sz="0" w:space="0" w:color="auto"/>
        <w:left w:val="none" w:sz="0" w:space="0" w:color="auto"/>
        <w:bottom w:val="none" w:sz="0" w:space="0" w:color="auto"/>
        <w:right w:val="none" w:sz="0" w:space="0" w:color="auto"/>
      </w:divBdr>
    </w:div>
    <w:div w:id="1346902732">
      <w:bodyDiv w:val="1"/>
      <w:marLeft w:val="0"/>
      <w:marRight w:val="0"/>
      <w:marTop w:val="0"/>
      <w:marBottom w:val="0"/>
      <w:divBdr>
        <w:top w:val="none" w:sz="0" w:space="0" w:color="auto"/>
        <w:left w:val="none" w:sz="0" w:space="0" w:color="auto"/>
        <w:bottom w:val="none" w:sz="0" w:space="0" w:color="auto"/>
        <w:right w:val="none" w:sz="0" w:space="0" w:color="auto"/>
      </w:divBdr>
    </w:div>
    <w:div w:id="1669168710">
      <w:bodyDiv w:val="1"/>
      <w:marLeft w:val="0"/>
      <w:marRight w:val="0"/>
      <w:marTop w:val="0"/>
      <w:marBottom w:val="0"/>
      <w:divBdr>
        <w:top w:val="none" w:sz="0" w:space="0" w:color="auto"/>
        <w:left w:val="none" w:sz="0" w:space="0" w:color="auto"/>
        <w:bottom w:val="none" w:sz="0" w:space="0" w:color="auto"/>
        <w:right w:val="none" w:sz="0" w:space="0" w:color="auto"/>
      </w:divBdr>
    </w:div>
    <w:div w:id="1733038242">
      <w:bodyDiv w:val="1"/>
      <w:marLeft w:val="0"/>
      <w:marRight w:val="0"/>
      <w:marTop w:val="0"/>
      <w:marBottom w:val="0"/>
      <w:divBdr>
        <w:top w:val="none" w:sz="0" w:space="0" w:color="auto"/>
        <w:left w:val="none" w:sz="0" w:space="0" w:color="auto"/>
        <w:bottom w:val="none" w:sz="0" w:space="0" w:color="auto"/>
        <w:right w:val="none" w:sz="0" w:space="0" w:color="auto"/>
      </w:divBdr>
    </w:div>
    <w:div w:id="181922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dv.uni-lj.si/raziskovanje/institut-za-druzbene-vede/raziskovalni-projekti/P766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17724C-1413-44C8-AD94-DEE93C39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24841</Words>
  <Characters>141595</Characters>
  <Application>Microsoft Office Word</Application>
  <DocSecurity>0</DocSecurity>
  <Lines>1179</Lines>
  <Paragraphs>332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166104</CharactersWithSpaces>
  <SharedDoc>false</SharedDoc>
  <HLinks>
    <vt:vector size="444" baseType="variant">
      <vt:variant>
        <vt:i4>1376316</vt:i4>
      </vt:variant>
      <vt:variant>
        <vt:i4>440</vt:i4>
      </vt:variant>
      <vt:variant>
        <vt:i4>0</vt:i4>
      </vt:variant>
      <vt:variant>
        <vt:i4>5</vt:i4>
      </vt:variant>
      <vt:variant>
        <vt:lpwstr/>
      </vt:variant>
      <vt:variant>
        <vt:lpwstr>_Toc191459966</vt:lpwstr>
      </vt:variant>
      <vt:variant>
        <vt:i4>1376316</vt:i4>
      </vt:variant>
      <vt:variant>
        <vt:i4>434</vt:i4>
      </vt:variant>
      <vt:variant>
        <vt:i4>0</vt:i4>
      </vt:variant>
      <vt:variant>
        <vt:i4>5</vt:i4>
      </vt:variant>
      <vt:variant>
        <vt:lpwstr/>
      </vt:variant>
      <vt:variant>
        <vt:lpwstr>_Toc191459965</vt:lpwstr>
      </vt:variant>
      <vt:variant>
        <vt:i4>1376316</vt:i4>
      </vt:variant>
      <vt:variant>
        <vt:i4>428</vt:i4>
      </vt:variant>
      <vt:variant>
        <vt:i4>0</vt:i4>
      </vt:variant>
      <vt:variant>
        <vt:i4>5</vt:i4>
      </vt:variant>
      <vt:variant>
        <vt:lpwstr/>
      </vt:variant>
      <vt:variant>
        <vt:lpwstr>_Toc191459964</vt:lpwstr>
      </vt:variant>
      <vt:variant>
        <vt:i4>1376316</vt:i4>
      </vt:variant>
      <vt:variant>
        <vt:i4>422</vt:i4>
      </vt:variant>
      <vt:variant>
        <vt:i4>0</vt:i4>
      </vt:variant>
      <vt:variant>
        <vt:i4>5</vt:i4>
      </vt:variant>
      <vt:variant>
        <vt:lpwstr/>
      </vt:variant>
      <vt:variant>
        <vt:lpwstr>_Toc191459963</vt:lpwstr>
      </vt:variant>
      <vt:variant>
        <vt:i4>1376316</vt:i4>
      </vt:variant>
      <vt:variant>
        <vt:i4>416</vt:i4>
      </vt:variant>
      <vt:variant>
        <vt:i4>0</vt:i4>
      </vt:variant>
      <vt:variant>
        <vt:i4>5</vt:i4>
      </vt:variant>
      <vt:variant>
        <vt:lpwstr/>
      </vt:variant>
      <vt:variant>
        <vt:lpwstr>_Toc191459962</vt:lpwstr>
      </vt:variant>
      <vt:variant>
        <vt:i4>1376316</vt:i4>
      </vt:variant>
      <vt:variant>
        <vt:i4>410</vt:i4>
      </vt:variant>
      <vt:variant>
        <vt:i4>0</vt:i4>
      </vt:variant>
      <vt:variant>
        <vt:i4>5</vt:i4>
      </vt:variant>
      <vt:variant>
        <vt:lpwstr/>
      </vt:variant>
      <vt:variant>
        <vt:lpwstr>_Toc191459961</vt:lpwstr>
      </vt:variant>
      <vt:variant>
        <vt:i4>1376316</vt:i4>
      </vt:variant>
      <vt:variant>
        <vt:i4>404</vt:i4>
      </vt:variant>
      <vt:variant>
        <vt:i4>0</vt:i4>
      </vt:variant>
      <vt:variant>
        <vt:i4>5</vt:i4>
      </vt:variant>
      <vt:variant>
        <vt:lpwstr/>
      </vt:variant>
      <vt:variant>
        <vt:lpwstr>_Toc191459960</vt:lpwstr>
      </vt:variant>
      <vt:variant>
        <vt:i4>1441852</vt:i4>
      </vt:variant>
      <vt:variant>
        <vt:i4>398</vt:i4>
      </vt:variant>
      <vt:variant>
        <vt:i4>0</vt:i4>
      </vt:variant>
      <vt:variant>
        <vt:i4>5</vt:i4>
      </vt:variant>
      <vt:variant>
        <vt:lpwstr/>
      </vt:variant>
      <vt:variant>
        <vt:lpwstr>_Toc191459959</vt:lpwstr>
      </vt:variant>
      <vt:variant>
        <vt:i4>1441852</vt:i4>
      </vt:variant>
      <vt:variant>
        <vt:i4>392</vt:i4>
      </vt:variant>
      <vt:variant>
        <vt:i4>0</vt:i4>
      </vt:variant>
      <vt:variant>
        <vt:i4>5</vt:i4>
      </vt:variant>
      <vt:variant>
        <vt:lpwstr/>
      </vt:variant>
      <vt:variant>
        <vt:lpwstr>_Toc191459958</vt:lpwstr>
      </vt:variant>
      <vt:variant>
        <vt:i4>1441852</vt:i4>
      </vt:variant>
      <vt:variant>
        <vt:i4>386</vt:i4>
      </vt:variant>
      <vt:variant>
        <vt:i4>0</vt:i4>
      </vt:variant>
      <vt:variant>
        <vt:i4>5</vt:i4>
      </vt:variant>
      <vt:variant>
        <vt:lpwstr/>
      </vt:variant>
      <vt:variant>
        <vt:lpwstr>_Toc191459957</vt:lpwstr>
      </vt:variant>
      <vt:variant>
        <vt:i4>1441852</vt:i4>
      </vt:variant>
      <vt:variant>
        <vt:i4>380</vt:i4>
      </vt:variant>
      <vt:variant>
        <vt:i4>0</vt:i4>
      </vt:variant>
      <vt:variant>
        <vt:i4>5</vt:i4>
      </vt:variant>
      <vt:variant>
        <vt:lpwstr/>
      </vt:variant>
      <vt:variant>
        <vt:lpwstr>_Toc191459956</vt:lpwstr>
      </vt:variant>
      <vt:variant>
        <vt:i4>1441852</vt:i4>
      </vt:variant>
      <vt:variant>
        <vt:i4>374</vt:i4>
      </vt:variant>
      <vt:variant>
        <vt:i4>0</vt:i4>
      </vt:variant>
      <vt:variant>
        <vt:i4>5</vt:i4>
      </vt:variant>
      <vt:variant>
        <vt:lpwstr/>
      </vt:variant>
      <vt:variant>
        <vt:lpwstr>_Toc191459955</vt:lpwstr>
      </vt:variant>
      <vt:variant>
        <vt:i4>1441852</vt:i4>
      </vt:variant>
      <vt:variant>
        <vt:i4>368</vt:i4>
      </vt:variant>
      <vt:variant>
        <vt:i4>0</vt:i4>
      </vt:variant>
      <vt:variant>
        <vt:i4>5</vt:i4>
      </vt:variant>
      <vt:variant>
        <vt:lpwstr/>
      </vt:variant>
      <vt:variant>
        <vt:lpwstr>_Toc191459954</vt:lpwstr>
      </vt:variant>
      <vt:variant>
        <vt:i4>1441852</vt:i4>
      </vt:variant>
      <vt:variant>
        <vt:i4>362</vt:i4>
      </vt:variant>
      <vt:variant>
        <vt:i4>0</vt:i4>
      </vt:variant>
      <vt:variant>
        <vt:i4>5</vt:i4>
      </vt:variant>
      <vt:variant>
        <vt:lpwstr/>
      </vt:variant>
      <vt:variant>
        <vt:lpwstr>_Toc191459953</vt:lpwstr>
      </vt:variant>
      <vt:variant>
        <vt:i4>1441852</vt:i4>
      </vt:variant>
      <vt:variant>
        <vt:i4>356</vt:i4>
      </vt:variant>
      <vt:variant>
        <vt:i4>0</vt:i4>
      </vt:variant>
      <vt:variant>
        <vt:i4>5</vt:i4>
      </vt:variant>
      <vt:variant>
        <vt:lpwstr/>
      </vt:variant>
      <vt:variant>
        <vt:lpwstr>_Toc191459952</vt:lpwstr>
      </vt:variant>
      <vt:variant>
        <vt:i4>1441852</vt:i4>
      </vt:variant>
      <vt:variant>
        <vt:i4>350</vt:i4>
      </vt:variant>
      <vt:variant>
        <vt:i4>0</vt:i4>
      </vt:variant>
      <vt:variant>
        <vt:i4>5</vt:i4>
      </vt:variant>
      <vt:variant>
        <vt:lpwstr/>
      </vt:variant>
      <vt:variant>
        <vt:lpwstr>_Toc191459951</vt:lpwstr>
      </vt:variant>
      <vt:variant>
        <vt:i4>1441852</vt:i4>
      </vt:variant>
      <vt:variant>
        <vt:i4>344</vt:i4>
      </vt:variant>
      <vt:variant>
        <vt:i4>0</vt:i4>
      </vt:variant>
      <vt:variant>
        <vt:i4>5</vt:i4>
      </vt:variant>
      <vt:variant>
        <vt:lpwstr/>
      </vt:variant>
      <vt:variant>
        <vt:lpwstr>_Toc191459950</vt:lpwstr>
      </vt:variant>
      <vt:variant>
        <vt:i4>1507388</vt:i4>
      </vt:variant>
      <vt:variant>
        <vt:i4>338</vt:i4>
      </vt:variant>
      <vt:variant>
        <vt:i4>0</vt:i4>
      </vt:variant>
      <vt:variant>
        <vt:i4>5</vt:i4>
      </vt:variant>
      <vt:variant>
        <vt:lpwstr/>
      </vt:variant>
      <vt:variant>
        <vt:lpwstr>_Toc191459949</vt:lpwstr>
      </vt:variant>
      <vt:variant>
        <vt:i4>1507388</vt:i4>
      </vt:variant>
      <vt:variant>
        <vt:i4>332</vt:i4>
      </vt:variant>
      <vt:variant>
        <vt:i4>0</vt:i4>
      </vt:variant>
      <vt:variant>
        <vt:i4>5</vt:i4>
      </vt:variant>
      <vt:variant>
        <vt:lpwstr/>
      </vt:variant>
      <vt:variant>
        <vt:lpwstr>_Toc191459948</vt:lpwstr>
      </vt:variant>
      <vt:variant>
        <vt:i4>1507388</vt:i4>
      </vt:variant>
      <vt:variant>
        <vt:i4>326</vt:i4>
      </vt:variant>
      <vt:variant>
        <vt:i4>0</vt:i4>
      </vt:variant>
      <vt:variant>
        <vt:i4>5</vt:i4>
      </vt:variant>
      <vt:variant>
        <vt:lpwstr/>
      </vt:variant>
      <vt:variant>
        <vt:lpwstr>_Toc191459947</vt:lpwstr>
      </vt:variant>
      <vt:variant>
        <vt:i4>1507388</vt:i4>
      </vt:variant>
      <vt:variant>
        <vt:i4>320</vt:i4>
      </vt:variant>
      <vt:variant>
        <vt:i4>0</vt:i4>
      </vt:variant>
      <vt:variant>
        <vt:i4>5</vt:i4>
      </vt:variant>
      <vt:variant>
        <vt:lpwstr/>
      </vt:variant>
      <vt:variant>
        <vt:lpwstr>_Toc191459946</vt:lpwstr>
      </vt:variant>
      <vt:variant>
        <vt:i4>1507388</vt:i4>
      </vt:variant>
      <vt:variant>
        <vt:i4>314</vt:i4>
      </vt:variant>
      <vt:variant>
        <vt:i4>0</vt:i4>
      </vt:variant>
      <vt:variant>
        <vt:i4>5</vt:i4>
      </vt:variant>
      <vt:variant>
        <vt:lpwstr/>
      </vt:variant>
      <vt:variant>
        <vt:lpwstr>_Toc191459945</vt:lpwstr>
      </vt:variant>
      <vt:variant>
        <vt:i4>1900602</vt:i4>
      </vt:variant>
      <vt:variant>
        <vt:i4>305</vt:i4>
      </vt:variant>
      <vt:variant>
        <vt:i4>0</vt:i4>
      </vt:variant>
      <vt:variant>
        <vt:i4>5</vt:i4>
      </vt:variant>
      <vt:variant>
        <vt:lpwstr/>
      </vt:variant>
      <vt:variant>
        <vt:lpwstr>_Toc187242829</vt:lpwstr>
      </vt:variant>
      <vt:variant>
        <vt:i4>1441840</vt:i4>
      </vt:variant>
      <vt:variant>
        <vt:i4>296</vt:i4>
      </vt:variant>
      <vt:variant>
        <vt:i4>0</vt:i4>
      </vt:variant>
      <vt:variant>
        <vt:i4>5</vt:i4>
      </vt:variant>
      <vt:variant>
        <vt:lpwstr/>
      </vt:variant>
      <vt:variant>
        <vt:lpwstr>_Toc191383885</vt:lpwstr>
      </vt:variant>
      <vt:variant>
        <vt:i4>1441840</vt:i4>
      </vt:variant>
      <vt:variant>
        <vt:i4>290</vt:i4>
      </vt:variant>
      <vt:variant>
        <vt:i4>0</vt:i4>
      </vt:variant>
      <vt:variant>
        <vt:i4>5</vt:i4>
      </vt:variant>
      <vt:variant>
        <vt:lpwstr/>
      </vt:variant>
      <vt:variant>
        <vt:lpwstr>_Toc191383884</vt:lpwstr>
      </vt:variant>
      <vt:variant>
        <vt:i4>1441840</vt:i4>
      </vt:variant>
      <vt:variant>
        <vt:i4>284</vt:i4>
      </vt:variant>
      <vt:variant>
        <vt:i4>0</vt:i4>
      </vt:variant>
      <vt:variant>
        <vt:i4>5</vt:i4>
      </vt:variant>
      <vt:variant>
        <vt:lpwstr/>
      </vt:variant>
      <vt:variant>
        <vt:lpwstr>_Toc191383883</vt:lpwstr>
      </vt:variant>
      <vt:variant>
        <vt:i4>1441840</vt:i4>
      </vt:variant>
      <vt:variant>
        <vt:i4>278</vt:i4>
      </vt:variant>
      <vt:variant>
        <vt:i4>0</vt:i4>
      </vt:variant>
      <vt:variant>
        <vt:i4>5</vt:i4>
      </vt:variant>
      <vt:variant>
        <vt:lpwstr/>
      </vt:variant>
      <vt:variant>
        <vt:lpwstr>_Toc191383882</vt:lpwstr>
      </vt:variant>
      <vt:variant>
        <vt:i4>1441840</vt:i4>
      </vt:variant>
      <vt:variant>
        <vt:i4>272</vt:i4>
      </vt:variant>
      <vt:variant>
        <vt:i4>0</vt:i4>
      </vt:variant>
      <vt:variant>
        <vt:i4>5</vt:i4>
      </vt:variant>
      <vt:variant>
        <vt:lpwstr/>
      </vt:variant>
      <vt:variant>
        <vt:lpwstr>_Toc191383881</vt:lpwstr>
      </vt:variant>
      <vt:variant>
        <vt:i4>1441840</vt:i4>
      </vt:variant>
      <vt:variant>
        <vt:i4>266</vt:i4>
      </vt:variant>
      <vt:variant>
        <vt:i4>0</vt:i4>
      </vt:variant>
      <vt:variant>
        <vt:i4>5</vt:i4>
      </vt:variant>
      <vt:variant>
        <vt:lpwstr/>
      </vt:variant>
      <vt:variant>
        <vt:lpwstr>_Toc191383880</vt:lpwstr>
      </vt:variant>
      <vt:variant>
        <vt:i4>1638448</vt:i4>
      </vt:variant>
      <vt:variant>
        <vt:i4>260</vt:i4>
      </vt:variant>
      <vt:variant>
        <vt:i4>0</vt:i4>
      </vt:variant>
      <vt:variant>
        <vt:i4>5</vt:i4>
      </vt:variant>
      <vt:variant>
        <vt:lpwstr/>
      </vt:variant>
      <vt:variant>
        <vt:lpwstr>_Toc191383879</vt:lpwstr>
      </vt:variant>
      <vt:variant>
        <vt:i4>1638448</vt:i4>
      </vt:variant>
      <vt:variant>
        <vt:i4>254</vt:i4>
      </vt:variant>
      <vt:variant>
        <vt:i4>0</vt:i4>
      </vt:variant>
      <vt:variant>
        <vt:i4>5</vt:i4>
      </vt:variant>
      <vt:variant>
        <vt:lpwstr/>
      </vt:variant>
      <vt:variant>
        <vt:lpwstr>_Toc191383878</vt:lpwstr>
      </vt:variant>
      <vt:variant>
        <vt:i4>1638448</vt:i4>
      </vt:variant>
      <vt:variant>
        <vt:i4>248</vt:i4>
      </vt:variant>
      <vt:variant>
        <vt:i4>0</vt:i4>
      </vt:variant>
      <vt:variant>
        <vt:i4>5</vt:i4>
      </vt:variant>
      <vt:variant>
        <vt:lpwstr/>
      </vt:variant>
      <vt:variant>
        <vt:lpwstr>_Toc191383877</vt:lpwstr>
      </vt:variant>
      <vt:variant>
        <vt:i4>1638448</vt:i4>
      </vt:variant>
      <vt:variant>
        <vt:i4>242</vt:i4>
      </vt:variant>
      <vt:variant>
        <vt:i4>0</vt:i4>
      </vt:variant>
      <vt:variant>
        <vt:i4>5</vt:i4>
      </vt:variant>
      <vt:variant>
        <vt:lpwstr/>
      </vt:variant>
      <vt:variant>
        <vt:lpwstr>_Toc191383876</vt:lpwstr>
      </vt:variant>
      <vt:variant>
        <vt:i4>1638448</vt:i4>
      </vt:variant>
      <vt:variant>
        <vt:i4>236</vt:i4>
      </vt:variant>
      <vt:variant>
        <vt:i4>0</vt:i4>
      </vt:variant>
      <vt:variant>
        <vt:i4>5</vt:i4>
      </vt:variant>
      <vt:variant>
        <vt:lpwstr/>
      </vt:variant>
      <vt:variant>
        <vt:lpwstr>_Toc191383875</vt:lpwstr>
      </vt:variant>
      <vt:variant>
        <vt:i4>1638448</vt:i4>
      </vt:variant>
      <vt:variant>
        <vt:i4>230</vt:i4>
      </vt:variant>
      <vt:variant>
        <vt:i4>0</vt:i4>
      </vt:variant>
      <vt:variant>
        <vt:i4>5</vt:i4>
      </vt:variant>
      <vt:variant>
        <vt:lpwstr/>
      </vt:variant>
      <vt:variant>
        <vt:lpwstr>_Toc191383874</vt:lpwstr>
      </vt:variant>
      <vt:variant>
        <vt:i4>1638448</vt:i4>
      </vt:variant>
      <vt:variant>
        <vt:i4>224</vt:i4>
      </vt:variant>
      <vt:variant>
        <vt:i4>0</vt:i4>
      </vt:variant>
      <vt:variant>
        <vt:i4>5</vt:i4>
      </vt:variant>
      <vt:variant>
        <vt:lpwstr/>
      </vt:variant>
      <vt:variant>
        <vt:lpwstr>_Toc191383873</vt:lpwstr>
      </vt:variant>
      <vt:variant>
        <vt:i4>1638448</vt:i4>
      </vt:variant>
      <vt:variant>
        <vt:i4>218</vt:i4>
      </vt:variant>
      <vt:variant>
        <vt:i4>0</vt:i4>
      </vt:variant>
      <vt:variant>
        <vt:i4>5</vt:i4>
      </vt:variant>
      <vt:variant>
        <vt:lpwstr/>
      </vt:variant>
      <vt:variant>
        <vt:lpwstr>_Toc191383872</vt:lpwstr>
      </vt:variant>
      <vt:variant>
        <vt:i4>1638448</vt:i4>
      </vt:variant>
      <vt:variant>
        <vt:i4>212</vt:i4>
      </vt:variant>
      <vt:variant>
        <vt:i4>0</vt:i4>
      </vt:variant>
      <vt:variant>
        <vt:i4>5</vt:i4>
      </vt:variant>
      <vt:variant>
        <vt:lpwstr/>
      </vt:variant>
      <vt:variant>
        <vt:lpwstr>_Toc191383871</vt:lpwstr>
      </vt:variant>
      <vt:variant>
        <vt:i4>1638448</vt:i4>
      </vt:variant>
      <vt:variant>
        <vt:i4>206</vt:i4>
      </vt:variant>
      <vt:variant>
        <vt:i4>0</vt:i4>
      </vt:variant>
      <vt:variant>
        <vt:i4>5</vt:i4>
      </vt:variant>
      <vt:variant>
        <vt:lpwstr/>
      </vt:variant>
      <vt:variant>
        <vt:lpwstr>_Toc191383870</vt:lpwstr>
      </vt:variant>
      <vt:variant>
        <vt:i4>1572912</vt:i4>
      </vt:variant>
      <vt:variant>
        <vt:i4>200</vt:i4>
      </vt:variant>
      <vt:variant>
        <vt:i4>0</vt:i4>
      </vt:variant>
      <vt:variant>
        <vt:i4>5</vt:i4>
      </vt:variant>
      <vt:variant>
        <vt:lpwstr/>
      </vt:variant>
      <vt:variant>
        <vt:lpwstr>_Toc191383869</vt:lpwstr>
      </vt:variant>
      <vt:variant>
        <vt:i4>1572912</vt:i4>
      </vt:variant>
      <vt:variant>
        <vt:i4>194</vt:i4>
      </vt:variant>
      <vt:variant>
        <vt:i4>0</vt:i4>
      </vt:variant>
      <vt:variant>
        <vt:i4>5</vt:i4>
      </vt:variant>
      <vt:variant>
        <vt:lpwstr/>
      </vt:variant>
      <vt:variant>
        <vt:lpwstr>_Toc191383868</vt:lpwstr>
      </vt:variant>
      <vt:variant>
        <vt:i4>1572912</vt:i4>
      </vt:variant>
      <vt:variant>
        <vt:i4>188</vt:i4>
      </vt:variant>
      <vt:variant>
        <vt:i4>0</vt:i4>
      </vt:variant>
      <vt:variant>
        <vt:i4>5</vt:i4>
      </vt:variant>
      <vt:variant>
        <vt:lpwstr/>
      </vt:variant>
      <vt:variant>
        <vt:lpwstr>_Toc191383867</vt:lpwstr>
      </vt:variant>
      <vt:variant>
        <vt:i4>1572912</vt:i4>
      </vt:variant>
      <vt:variant>
        <vt:i4>182</vt:i4>
      </vt:variant>
      <vt:variant>
        <vt:i4>0</vt:i4>
      </vt:variant>
      <vt:variant>
        <vt:i4>5</vt:i4>
      </vt:variant>
      <vt:variant>
        <vt:lpwstr/>
      </vt:variant>
      <vt:variant>
        <vt:lpwstr>_Toc191383866</vt:lpwstr>
      </vt:variant>
      <vt:variant>
        <vt:i4>1572912</vt:i4>
      </vt:variant>
      <vt:variant>
        <vt:i4>176</vt:i4>
      </vt:variant>
      <vt:variant>
        <vt:i4>0</vt:i4>
      </vt:variant>
      <vt:variant>
        <vt:i4>5</vt:i4>
      </vt:variant>
      <vt:variant>
        <vt:lpwstr/>
      </vt:variant>
      <vt:variant>
        <vt:lpwstr>_Toc191383865</vt:lpwstr>
      </vt:variant>
      <vt:variant>
        <vt:i4>1572912</vt:i4>
      </vt:variant>
      <vt:variant>
        <vt:i4>170</vt:i4>
      </vt:variant>
      <vt:variant>
        <vt:i4>0</vt:i4>
      </vt:variant>
      <vt:variant>
        <vt:i4>5</vt:i4>
      </vt:variant>
      <vt:variant>
        <vt:lpwstr/>
      </vt:variant>
      <vt:variant>
        <vt:lpwstr>_Toc191383864</vt:lpwstr>
      </vt:variant>
      <vt:variant>
        <vt:i4>1572912</vt:i4>
      </vt:variant>
      <vt:variant>
        <vt:i4>164</vt:i4>
      </vt:variant>
      <vt:variant>
        <vt:i4>0</vt:i4>
      </vt:variant>
      <vt:variant>
        <vt:i4>5</vt:i4>
      </vt:variant>
      <vt:variant>
        <vt:lpwstr/>
      </vt:variant>
      <vt:variant>
        <vt:lpwstr>_Toc191383863</vt:lpwstr>
      </vt:variant>
      <vt:variant>
        <vt:i4>1572912</vt:i4>
      </vt:variant>
      <vt:variant>
        <vt:i4>158</vt:i4>
      </vt:variant>
      <vt:variant>
        <vt:i4>0</vt:i4>
      </vt:variant>
      <vt:variant>
        <vt:i4>5</vt:i4>
      </vt:variant>
      <vt:variant>
        <vt:lpwstr/>
      </vt:variant>
      <vt:variant>
        <vt:lpwstr>_Toc191383862</vt:lpwstr>
      </vt:variant>
      <vt:variant>
        <vt:i4>1572912</vt:i4>
      </vt:variant>
      <vt:variant>
        <vt:i4>152</vt:i4>
      </vt:variant>
      <vt:variant>
        <vt:i4>0</vt:i4>
      </vt:variant>
      <vt:variant>
        <vt:i4>5</vt:i4>
      </vt:variant>
      <vt:variant>
        <vt:lpwstr/>
      </vt:variant>
      <vt:variant>
        <vt:lpwstr>_Toc191383861</vt:lpwstr>
      </vt:variant>
      <vt:variant>
        <vt:i4>1572912</vt:i4>
      </vt:variant>
      <vt:variant>
        <vt:i4>146</vt:i4>
      </vt:variant>
      <vt:variant>
        <vt:i4>0</vt:i4>
      </vt:variant>
      <vt:variant>
        <vt:i4>5</vt:i4>
      </vt:variant>
      <vt:variant>
        <vt:lpwstr/>
      </vt:variant>
      <vt:variant>
        <vt:lpwstr>_Toc191383860</vt:lpwstr>
      </vt:variant>
      <vt:variant>
        <vt:i4>1769520</vt:i4>
      </vt:variant>
      <vt:variant>
        <vt:i4>140</vt:i4>
      </vt:variant>
      <vt:variant>
        <vt:i4>0</vt:i4>
      </vt:variant>
      <vt:variant>
        <vt:i4>5</vt:i4>
      </vt:variant>
      <vt:variant>
        <vt:lpwstr/>
      </vt:variant>
      <vt:variant>
        <vt:lpwstr>_Toc191383859</vt:lpwstr>
      </vt:variant>
      <vt:variant>
        <vt:i4>1769520</vt:i4>
      </vt:variant>
      <vt:variant>
        <vt:i4>134</vt:i4>
      </vt:variant>
      <vt:variant>
        <vt:i4>0</vt:i4>
      </vt:variant>
      <vt:variant>
        <vt:i4>5</vt:i4>
      </vt:variant>
      <vt:variant>
        <vt:lpwstr/>
      </vt:variant>
      <vt:variant>
        <vt:lpwstr>_Toc191383858</vt:lpwstr>
      </vt:variant>
      <vt:variant>
        <vt:i4>1769520</vt:i4>
      </vt:variant>
      <vt:variant>
        <vt:i4>128</vt:i4>
      </vt:variant>
      <vt:variant>
        <vt:i4>0</vt:i4>
      </vt:variant>
      <vt:variant>
        <vt:i4>5</vt:i4>
      </vt:variant>
      <vt:variant>
        <vt:lpwstr/>
      </vt:variant>
      <vt:variant>
        <vt:lpwstr>_Toc191383857</vt:lpwstr>
      </vt:variant>
      <vt:variant>
        <vt:i4>1769520</vt:i4>
      </vt:variant>
      <vt:variant>
        <vt:i4>122</vt:i4>
      </vt:variant>
      <vt:variant>
        <vt:i4>0</vt:i4>
      </vt:variant>
      <vt:variant>
        <vt:i4>5</vt:i4>
      </vt:variant>
      <vt:variant>
        <vt:lpwstr/>
      </vt:variant>
      <vt:variant>
        <vt:lpwstr>_Toc191383856</vt:lpwstr>
      </vt:variant>
      <vt:variant>
        <vt:i4>1769520</vt:i4>
      </vt:variant>
      <vt:variant>
        <vt:i4>116</vt:i4>
      </vt:variant>
      <vt:variant>
        <vt:i4>0</vt:i4>
      </vt:variant>
      <vt:variant>
        <vt:i4>5</vt:i4>
      </vt:variant>
      <vt:variant>
        <vt:lpwstr/>
      </vt:variant>
      <vt:variant>
        <vt:lpwstr>_Toc191383855</vt:lpwstr>
      </vt:variant>
      <vt:variant>
        <vt:i4>1769520</vt:i4>
      </vt:variant>
      <vt:variant>
        <vt:i4>110</vt:i4>
      </vt:variant>
      <vt:variant>
        <vt:i4>0</vt:i4>
      </vt:variant>
      <vt:variant>
        <vt:i4>5</vt:i4>
      </vt:variant>
      <vt:variant>
        <vt:lpwstr/>
      </vt:variant>
      <vt:variant>
        <vt:lpwstr>_Toc191383854</vt:lpwstr>
      </vt:variant>
      <vt:variant>
        <vt:i4>1769520</vt:i4>
      </vt:variant>
      <vt:variant>
        <vt:i4>104</vt:i4>
      </vt:variant>
      <vt:variant>
        <vt:i4>0</vt:i4>
      </vt:variant>
      <vt:variant>
        <vt:i4>5</vt:i4>
      </vt:variant>
      <vt:variant>
        <vt:lpwstr/>
      </vt:variant>
      <vt:variant>
        <vt:lpwstr>_Toc191383853</vt:lpwstr>
      </vt:variant>
      <vt:variant>
        <vt:i4>1769520</vt:i4>
      </vt:variant>
      <vt:variant>
        <vt:i4>98</vt:i4>
      </vt:variant>
      <vt:variant>
        <vt:i4>0</vt:i4>
      </vt:variant>
      <vt:variant>
        <vt:i4>5</vt:i4>
      </vt:variant>
      <vt:variant>
        <vt:lpwstr/>
      </vt:variant>
      <vt:variant>
        <vt:lpwstr>_Toc191383852</vt:lpwstr>
      </vt:variant>
      <vt:variant>
        <vt:i4>1769520</vt:i4>
      </vt:variant>
      <vt:variant>
        <vt:i4>92</vt:i4>
      </vt:variant>
      <vt:variant>
        <vt:i4>0</vt:i4>
      </vt:variant>
      <vt:variant>
        <vt:i4>5</vt:i4>
      </vt:variant>
      <vt:variant>
        <vt:lpwstr/>
      </vt:variant>
      <vt:variant>
        <vt:lpwstr>_Toc191383851</vt:lpwstr>
      </vt:variant>
      <vt:variant>
        <vt:i4>1769520</vt:i4>
      </vt:variant>
      <vt:variant>
        <vt:i4>86</vt:i4>
      </vt:variant>
      <vt:variant>
        <vt:i4>0</vt:i4>
      </vt:variant>
      <vt:variant>
        <vt:i4>5</vt:i4>
      </vt:variant>
      <vt:variant>
        <vt:lpwstr/>
      </vt:variant>
      <vt:variant>
        <vt:lpwstr>_Toc191383850</vt:lpwstr>
      </vt:variant>
      <vt:variant>
        <vt:i4>1703984</vt:i4>
      </vt:variant>
      <vt:variant>
        <vt:i4>80</vt:i4>
      </vt:variant>
      <vt:variant>
        <vt:i4>0</vt:i4>
      </vt:variant>
      <vt:variant>
        <vt:i4>5</vt:i4>
      </vt:variant>
      <vt:variant>
        <vt:lpwstr/>
      </vt:variant>
      <vt:variant>
        <vt:lpwstr>_Toc191383849</vt:lpwstr>
      </vt:variant>
      <vt:variant>
        <vt:i4>1703984</vt:i4>
      </vt:variant>
      <vt:variant>
        <vt:i4>74</vt:i4>
      </vt:variant>
      <vt:variant>
        <vt:i4>0</vt:i4>
      </vt:variant>
      <vt:variant>
        <vt:i4>5</vt:i4>
      </vt:variant>
      <vt:variant>
        <vt:lpwstr/>
      </vt:variant>
      <vt:variant>
        <vt:lpwstr>_Toc191383848</vt:lpwstr>
      </vt:variant>
      <vt:variant>
        <vt:i4>1703984</vt:i4>
      </vt:variant>
      <vt:variant>
        <vt:i4>68</vt:i4>
      </vt:variant>
      <vt:variant>
        <vt:i4>0</vt:i4>
      </vt:variant>
      <vt:variant>
        <vt:i4>5</vt:i4>
      </vt:variant>
      <vt:variant>
        <vt:lpwstr/>
      </vt:variant>
      <vt:variant>
        <vt:lpwstr>_Toc191383847</vt:lpwstr>
      </vt:variant>
      <vt:variant>
        <vt:i4>1703984</vt:i4>
      </vt:variant>
      <vt:variant>
        <vt:i4>62</vt:i4>
      </vt:variant>
      <vt:variant>
        <vt:i4>0</vt:i4>
      </vt:variant>
      <vt:variant>
        <vt:i4>5</vt:i4>
      </vt:variant>
      <vt:variant>
        <vt:lpwstr/>
      </vt:variant>
      <vt:variant>
        <vt:lpwstr>_Toc191383846</vt:lpwstr>
      </vt:variant>
      <vt:variant>
        <vt:i4>1703984</vt:i4>
      </vt:variant>
      <vt:variant>
        <vt:i4>56</vt:i4>
      </vt:variant>
      <vt:variant>
        <vt:i4>0</vt:i4>
      </vt:variant>
      <vt:variant>
        <vt:i4>5</vt:i4>
      </vt:variant>
      <vt:variant>
        <vt:lpwstr/>
      </vt:variant>
      <vt:variant>
        <vt:lpwstr>_Toc191383845</vt:lpwstr>
      </vt:variant>
      <vt:variant>
        <vt:i4>1703984</vt:i4>
      </vt:variant>
      <vt:variant>
        <vt:i4>50</vt:i4>
      </vt:variant>
      <vt:variant>
        <vt:i4>0</vt:i4>
      </vt:variant>
      <vt:variant>
        <vt:i4>5</vt:i4>
      </vt:variant>
      <vt:variant>
        <vt:lpwstr/>
      </vt:variant>
      <vt:variant>
        <vt:lpwstr>_Toc191383844</vt:lpwstr>
      </vt:variant>
      <vt:variant>
        <vt:i4>1703984</vt:i4>
      </vt:variant>
      <vt:variant>
        <vt:i4>44</vt:i4>
      </vt:variant>
      <vt:variant>
        <vt:i4>0</vt:i4>
      </vt:variant>
      <vt:variant>
        <vt:i4>5</vt:i4>
      </vt:variant>
      <vt:variant>
        <vt:lpwstr/>
      </vt:variant>
      <vt:variant>
        <vt:lpwstr>_Toc191383843</vt:lpwstr>
      </vt:variant>
      <vt:variant>
        <vt:i4>1703984</vt:i4>
      </vt:variant>
      <vt:variant>
        <vt:i4>38</vt:i4>
      </vt:variant>
      <vt:variant>
        <vt:i4>0</vt:i4>
      </vt:variant>
      <vt:variant>
        <vt:i4>5</vt:i4>
      </vt:variant>
      <vt:variant>
        <vt:lpwstr/>
      </vt:variant>
      <vt:variant>
        <vt:lpwstr>_Toc191383842</vt:lpwstr>
      </vt:variant>
      <vt:variant>
        <vt:i4>1703984</vt:i4>
      </vt:variant>
      <vt:variant>
        <vt:i4>32</vt:i4>
      </vt:variant>
      <vt:variant>
        <vt:i4>0</vt:i4>
      </vt:variant>
      <vt:variant>
        <vt:i4>5</vt:i4>
      </vt:variant>
      <vt:variant>
        <vt:lpwstr/>
      </vt:variant>
      <vt:variant>
        <vt:lpwstr>_Toc191383841</vt:lpwstr>
      </vt:variant>
      <vt:variant>
        <vt:i4>1703984</vt:i4>
      </vt:variant>
      <vt:variant>
        <vt:i4>26</vt:i4>
      </vt:variant>
      <vt:variant>
        <vt:i4>0</vt:i4>
      </vt:variant>
      <vt:variant>
        <vt:i4>5</vt:i4>
      </vt:variant>
      <vt:variant>
        <vt:lpwstr/>
      </vt:variant>
      <vt:variant>
        <vt:lpwstr>_Toc191383840</vt:lpwstr>
      </vt:variant>
      <vt:variant>
        <vt:i4>1900592</vt:i4>
      </vt:variant>
      <vt:variant>
        <vt:i4>20</vt:i4>
      </vt:variant>
      <vt:variant>
        <vt:i4>0</vt:i4>
      </vt:variant>
      <vt:variant>
        <vt:i4>5</vt:i4>
      </vt:variant>
      <vt:variant>
        <vt:lpwstr/>
      </vt:variant>
      <vt:variant>
        <vt:lpwstr>_Toc191383839</vt:lpwstr>
      </vt:variant>
      <vt:variant>
        <vt:i4>1900592</vt:i4>
      </vt:variant>
      <vt:variant>
        <vt:i4>14</vt:i4>
      </vt:variant>
      <vt:variant>
        <vt:i4>0</vt:i4>
      </vt:variant>
      <vt:variant>
        <vt:i4>5</vt:i4>
      </vt:variant>
      <vt:variant>
        <vt:lpwstr/>
      </vt:variant>
      <vt:variant>
        <vt:lpwstr>_Toc191383838</vt:lpwstr>
      </vt:variant>
      <vt:variant>
        <vt:i4>1900592</vt:i4>
      </vt:variant>
      <vt:variant>
        <vt:i4>8</vt:i4>
      </vt:variant>
      <vt:variant>
        <vt:i4>0</vt:i4>
      </vt:variant>
      <vt:variant>
        <vt:i4>5</vt:i4>
      </vt:variant>
      <vt:variant>
        <vt:lpwstr/>
      </vt:variant>
      <vt:variant>
        <vt:lpwstr>_Toc191383837</vt:lpwstr>
      </vt:variant>
      <vt:variant>
        <vt:i4>1900592</vt:i4>
      </vt:variant>
      <vt:variant>
        <vt:i4>2</vt:i4>
      </vt:variant>
      <vt:variant>
        <vt:i4>0</vt:i4>
      </vt:variant>
      <vt:variant>
        <vt:i4>5</vt:i4>
      </vt:variant>
      <vt:variant>
        <vt:lpwstr/>
      </vt:variant>
      <vt:variant>
        <vt:lpwstr>_Toc191383836</vt:lpwstr>
      </vt:variant>
      <vt:variant>
        <vt:i4>5177375</vt:i4>
      </vt:variant>
      <vt:variant>
        <vt:i4>0</vt:i4>
      </vt:variant>
      <vt:variant>
        <vt:i4>0</vt:i4>
      </vt:variant>
      <vt:variant>
        <vt:i4>5</vt:i4>
      </vt:variant>
      <vt:variant>
        <vt:lpwstr>https://www.fdv.uni-lj.si/raziskovanje/institut-za-druzbene-vede/raziskovalni-projekti/P7666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Aljančič</dc:creator>
  <cp:keywords/>
  <dc:description/>
  <cp:lastModifiedBy>Nataša Zalar</cp:lastModifiedBy>
  <cp:revision>3</cp:revision>
  <cp:lastPrinted>2025-01-27T06:48:00Z</cp:lastPrinted>
  <dcterms:created xsi:type="dcterms:W3CDTF">2025-03-03T10:20:00Z</dcterms:created>
  <dcterms:modified xsi:type="dcterms:W3CDTF">2025-03-03T10:41:00Z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1951162806</vt:i4>
  </property>
</Properties>
</file>